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3673A" w14:textId="77777777" w:rsidR="006B1E0C" w:rsidRDefault="00040A9F">
      <w:pPr>
        <w:spacing w:before="240" w:after="0" w:line="276" w:lineRule="auto"/>
        <w:ind w:left="2" w:hanging="4"/>
        <w:rPr>
          <w:rFonts w:ascii="Arial" w:eastAsia="Arial" w:hAnsi="Arial" w:cs="Arial"/>
          <w:b/>
          <w:sz w:val="36"/>
          <w:szCs w:val="36"/>
        </w:rPr>
      </w:pPr>
      <w:r>
        <w:rPr>
          <w:rFonts w:ascii="Arial" w:eastAsia="Arial" w:hAnsi="Arial" w:cs="Arial"/>
          <w:b/>
          <w:sz w:val="36"/>
          <w:szCs w:val="36"/>
        </w:rPr>
        <w:t>Call-off Schedule 5 (Pricing Details)</w:t>
      </w:r>
    </w:p>
    <w:p w14:paraId="1103673B" w14:textId="77777777" w:rsidR="006B1E0C" w:rsidRDefault="00040A9F">
      <w:pPr>
        <w:spacing w:before="240" w:after="0" w:line="276" w:lineRule="auto"/>
        <w:ind w:left="2" w:hanging="4"/>
        <w:rPr>
          <w:rFonts w:ascii="Arial" w:eastAsia="Arial" w:hAnsi="Arial" w:cs="Arial"/>
          <w:b/>
          <w:sz w:val="36"/>
          <w:szCs w:val="36"/>
        </w:rPr>
      </w:pPr>
      <w:bookmarkStart w:id="0" w:name="_heading=h.1y810tw" w:colFirst="0" w:colLast="0"/>
      <w:bookmarkEnd w:id="0"/>
      <w:r>
        <w:rPr>
          <w:rFonts w:ascii="Arial" w:eastAsia="Arial" w:hAnsi="Arial" w:cs="Arial"/>
          <w:b/>
          <w:sz w:val="36"/>
          <w:szCs w:val="36"/>
        </w:rPr>
        <w:t>Part A – Fixed Fee Pricing</w:t>
      </w:r>
    </w:p>
    <w:p w14:paraId="1103673C" w14:textId="77777777" w:rsidR="006B1E0C" w:rsidRDefault="006B1E0C">
      <w:pPr>
        <w:pBdr>
          <w:top w:val="nil"/>
          <w:left w:val="nil"/>
          <w:bottom w:val="nil"/>
          <w:right w:val="nil"/>
          <w:between w:val="nil"/>
        </w:pBdr>
        <w:tabs>
          <w:tab w:val="center" w:pos="4153"/>
          <w:tab w:val="right" w:pos="8306"/>
          <w:tab w:val="center" w:pos="4513"/>
          <w:tab w:val="right" w:pos="9026"/>
        </w:tabs>
        <w:spacing w:after="0" w:line="240" w:lineRule="auto"/>
        <w:ind w:left="0" w:hanging="2"/>
        <w:rPr>
          <w:rFonts w:ascii="Arial" w:eastAsia="Arial" w:hAnsi="Arial" w:cs="Arial"/>
          <w:color w:val="000000"/>
          <w:sz w:val="24"/>
          <w:szCs w:val="24"/>
        </w:rPr>
      </w:pPr>
    </w:p>
    <w:p w14:paraId="1103673D" w14:textId="77777777" w:rsidR="006B1E0C" w:rsidRDefault="00040A9F">
      <w:pPr>
        <w:keepNext/>
        <w:pBdr>
          <w:top w:val="nil"/>
          <w:left w:val="nil"/>
          <w:bottom w:val="nil"/>
          <w:right w:val="nil"/>
          <w:between w:val="nil"/>
        </w:pBdr>
        <w:spacing w:line="240" w:lineRule="auto"/>
        <w:ind w:left="0" w:hanging="2"/>
        <w:rPr>
          <w:rFonts w:ascii="Arial" w:eastAsia="Arial" w:hAnsi="Arial" w:cs="Arial"/>
          <w:color w:val="000000"/>
          <w:sz w:val="24"/>
          <w:szCs w:val="24"/>
        </w:rPr>
      </w:pPr>
      <w:bookmarkStart w:id="1" w:name="_heading=h.z337ya" w:colFirst="0" w:colLast="0"/>
      <w:bookmarkEnd w:id="1"/>
      <w:r>
        <w:rPr>
          <w:rFonts w:ascii="Arial" w:eastAsia="Arial" w:hAnsi="Arial" w:cs="Arial"/>
          <w:color w:val="000000"/>
          <w:sz w:val="24"/>
          <w:szCs w:val="24"/>
        </w:rPr>
        <w:t>This part of this schedule shall apply where the Fixed Fee Pricing option is selected in the Order Form.</w:t>
      </w:r>
    </w:p>
    <w:p w14:paraId="1103673E" w14:textId="77777777" w:rsidR="006B1E0C" w:rsidRDefault="00040A9F" w:rsidP="00FA765E">
      <w:pPr>
        <w:keepNext/>
        <w:numPr>
          <w:ilvl w:val="0"/>
          <w:numId w:val="1"/>
        </w:numPr>
        <w:pBdr>
          <w:top w:val="nil"/>
          <w:left w:val="nil"/>
          <w:bottom w:val="nil"/>
          <w:right w:val="nil"/>
          <w:between w:val="nil"/>
        </w:pBdr>
        <w:tabs>
          <w:tab w:val="left" w:pos="567"/>
        </w:tabs>
        <w:spacing w:line="240" w:lineRule="auto"/>
        <w:ind w:left="567" w:hangingChars="237" w:hanging="569"/>
        <w:rPr>
          <w:rFonts w:ascii="Arial" w:eastAsia="Arial" w:hAnsi="Arial" w:cs="Arial"/>
          <w:b/>
          <w:color w:val="000000"/>
          <w:sz w:val="24"/>
          <w:szCs w:val="24"/>
        </w:rPr>
      </w:pPr>
      <w:bookmarkStart w:id="2" w:name="_heading=h.gjdgxs" w:colFirst="0" w:colLast="0"/>
      <w:bookmarkEnd w:id="2"/>
      <w:r>
        <w:rPr>
          <w:rFonts w:ascii="Arial" w:eastAsia="Arial" w:hAnsi="Arial" w:cs="Arial"/>
          <w:b/>
          <w:sz w:val="24"/>
          <w:szCs w:val="24"/>
        </w:rPr>
        <w:t>Calculation Of The Charges</w:t>
      </w:r>
    </w:p>
    <w:p w14:paraId="1103673F" w14:textId="77777777" w:rsidR="006B1E0C" w:rsidRDefault="00040A9F" w:rsidP="00FA765E">
      <w:pPr>
        <w:numPr>
          <w:ilvl w:val="1"/>
          <w:numId w:val="1"/>
        </w:numPr>
        <w:pBdr>
          <w:top w:val="nil"/>
          <w:left w:val="nil"/>
          <w:bottom w:val="nil"/>
          <w:right w:val="nil"/>
          <w:between w:val="nil"/>
        </w:pBdr>
        <w:tabs>
          <w:tab w:val="left" w:pos="567"/>
        </w:tabs>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fixed fee Charges shall be: </w:t>
      </w:r>
    </w:p>
    <w:p w14:paraId="11036740" w14:textId="77777777" w:rsidR="006B1E0C" w:rsidRDefault="00040A9F" w:rsidP="00FA765E">
      <w:pPr>
        <w:numPr>
          <w:ilvl w:val="2"/>
          <w:numId w:val="1"/>
        </w:numPr>
        <w:pBdr>
          <w:top w:val="nil"/>
          <w:left w:val="nil"/>
          <w:bottom w:val="nil"/>
          <w:right w:val="nil"/>
          <w:between w:val="nil"/>
        </w:pBdr>
        <w:shd w:val="clear" w:color="auto" w:fill="FFFFFF"/>
        <w:spacing w:line="240" w:lineRule="auto"/>
        <w:ind w:leftChars="256" w:left="1132" w:hangingChars="237" w:hanging="569"/>
        <w:rPr>
          <w:rFonts w:ascii="Arial" w:eastAsia="Arial" w:hAnsi="Arial" w:cs="Arial"/>
          <w:color w:val="000000"/>
          <w:sz w:val="24"/>
          <w:szCs w:val="24"/>
        </w:rPr>
      </w:pPr>
      <w:r>
        <w:rPr>
          <w:rFonts w:ascii="Arial" w:eastAsia="Arial" w:hAnsi="Arial" w:cs="Arial"/>
          <w:color w:val="222222"/>
          <w:sz w:val="24"/>
          <w:szCs w:val="24"/>
          <w:highlight w:val="white"/>
        </w:rPr>
        <w:t>calculated on the basis of the rates and prices specified in the Fixed Fee Pricing Matrix as submitted at Further Competition, and based on the principles in Annex 1; </w:t>
      </w:r>
    </w:p>
    <w:p w14:paraId="11036741" w14:textId="77777777" w:rsidR="006B1E0C" w:rsidRDefault="00040A9F" w:rsidP="00FA765E">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paid in respect of Service Months for full and proper performance by the Supplier of its obligations under the Call-Off Contract; and</w:t>
      </w:r>
    </w:p>
    <w:p w14:paraId="11036742" w14:textId="77777777" w:rsidR="006B1E0C" w:rsidRDefault="00040A9F" w:rsidP="00FA765E">
      <w:pPr>
        <w:numPr>
          <w:ilvl w:val="2"/>
          <w:numId w:val="1"/>
        </w:numPr>
        <w:pBdr>
          <w:top w:val="nil"/>
          <w:left w:val="nil"/>
          <w:bottom w:val="nil"/>
          <w:right w:val="nil"/>
          <w:between w:val="nil"/>
        </w:pBdr>
        <w:spacing w:line="240" w:lineRule="auto"/>
        <w:ind w:leftChars="258" w:left="1132" w:hangingChars="235" w:hanging="564"/>
        <w:rPr>
          <w:rFonts w:ascii="Arial" w:eastAsia="Arial" w:hAnsi="Arial" w:cs="Arial"/>
          <w:color w:val="000000"/>
          <w:sz w:val="24"/>
          <w:szCs w:val="24"/>
        </w:rPr>
      </w:pPr>
      <w:r>
        <w:rPr>
          <w:rFonts w:ascii="Arial" w:eastAsia="Arial" w:hAnsi="Arial" w:cs="Arial"/>
          <w:color w:val="000000"/>
          <w:sz w:val="24"/>
          <w:szCs w:val="24"/>
        </w:rPr>
        <w:t>paid by way of monthly payments ("</w:t>
      </w:r>
      <w:r>
        <w:rPr>
          <w:rFonts w:ascii="Arial" w:eastAsia="Arial" w:hAnsi="Arial" w:cs="Arial"/>
          <w:b/>
          <w:color w:val="000000"/>
          <w:sz w:val="24"/>
          <w:szCs w:val="24"/>
        </w:rPr>
        <w:t>Monthly Payments</w:t>
      </w:r>
      <w:r>
        <w:rPr>
          <w:rFonts w:ascii="Arial" w:eastAsia="Arial" w:hAnsi="Arial" w:cs="Arial"/>
          <w:color w:val="000000"/>
          <w:sz w:val="24"/>
          <w:szCs w:val="24"/>
        </w:rPr>
        <w:t>") which shall be calculated in accordance with paragraph 1.2 below.</w:t>
      </w:r>
    </w:p>
    <w:p w14:paraId="11036743" w14:textId="77777777" w:rsidR="006B1E0C" w:rsidRDefault="00040A9F" w:rsidP="00FA765E">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Subject to paragraphs 1.3 and 1.4 below, the Monthly Payment (MPn), in respect of a Service Month “n” shall be calculated in accordance with the following formula:</w:t>
      </w:r>
    </w:p>
    <w:p w14:paraId="11036744" w14:textId="77777777" w:rsidR="006B1E0C" w:rsidRDefault="00A025D3">
      <w:pPr>
        <w:pBdr>
          <w:top w:val="nil"/>
          <w:left w:val="nil"/>
          <w:bottom w:val="nil"/>
          <w:right w:val="nil"/>
          <w:between w:val="nil"/>
        </w:pBdr>
        <w:spacing w:after="120" w:line="240" w:lineRule="auto"/>
        <w:ind w:left="0" w:hanging="2"/>
        <w:jc w:val="center"/>
        <w:rPr>
          <w:rFonts w:ascii="Arial" w:eastAsia="Arial" w:hAnsi="Arial" w:cs="Arial"/>
          <w:color w:val="000000"/>
          <w:sz w:val="24"/>
          <w:szCs w:val="24"/>
        </w:rPr>
      </w:pPr>
      <w:r>
        <w:rPr>
          <w:rFonts w:ascii="Arial" w:eastAsia="Arial" w:hAnsi="Arial" w:cs="Arial"/>
          <w:b/>
          <w:color w:val="000000"/>
          <w:sz w:val="24"/>
          <w:szCs w:val="24"/>
        </w:rPr>
        <w:pict w14:anchorId="11036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4pt;height:17.5pt;visibility:visible">
            <v:imagedata r:id="rId11" o:title=""/>
            <v:path o:extrusionok="t"/>
          </v:shape>
        </w:pict>
      </w:r>
    </w:p>
    <w:p w14:paraId="11036745"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where:</w:t>
      </w:r>
    </w:p>
    <w:tbl>
      <w:tblPr>
        <w:tblStyle w:val="af2"/>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34"/>
        <w:gridCol w:w="6939"/>
      </w:tblGrid>
      <w:tr w:rsidR="006B1E0C" w14:paraId="11036748" w14:textId="77777777">
        <w:tc>
          <w:tcPr>
            <w:tcW w:w="1134" w:type="dxa"/>
            <w:tcBorders>
              <w:top w:val="single" w:sz="4" w:space="0" w:color="000000"/>
              <w:left w:val="single" w:sz="4" w:space="0" w:color="000000"/>
            </w:tcBorders>
          </w:tcPr>
          <w:p w14:paraId="11036746"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MP</w:t>
            </w:r>
            <w:r>
              <w:rPr>
                <w:rFonts w:ascii="Arial" w:eastAsia="Arial" w:hAnsi="Arial" w:cs="Arial"/>
                <w:color w:val="000000"/>
                <w:sz w:val="24"/>
                <w:szCs w:val="24"/>
                <w:vertAlign w:val="subscript"/>
              </w:rPr>
              <w:t>n</w:t>
            </w:r>
          </w:p>
        </w:tc>
        <w:tc>
          <w:tcPr>
            <w:tcW w:w="6939" w:type="dxa"/>
            <w:tcBorders>
              <w:top w:val="single" w:sz="4" w:space="0" w:color="000000"/>
              <w:right w:val="single" w:sz="4" w:space="0" w:color="000000"/>
            </w:tcBorders>
          </w:tcPr>
          <w:p w14:paraId="11036747"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Payment to be determined in respect of the Service Month “n”;</w:t>
            </w:r>
          </w:p>
        </w:tc>
      </w:tr>
      <w:tr w:rsidR="006B1E0C" w14:paraId="1103674B" w14:textId="77777777">
        <w:tc>
          <w:tcPr>
            <w:tcW w:w="1134" w:type="dxa"/>
            <w:tcBorders>
              <w:left w:val="single" w:sz="4" w:space="0" w:color="000000"/>
            </w:tcBorders>
          </w:tcPr>
          <w:p w14:paraId="11036749"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BMP</w:t>
            </w:r>
            <w:r>
              <w:rPr>
                <w:rFonts w:ascii="Arial" w:eastAsia="Arial" w:hAnsi="Arial" w:cs="Arial"/>
                <w:color w:val="000000"/>
                <w:sz w:val="24"/>
                <w:szCs w:val="24"/>
                <w:vertAlign w:val="subscript"/>
              </w:rPr>
              <w:t>n</w:t>
            </w:r>
          </w:p>
        </w:tc>
        <w:tc>
          <w:tcPr>
            <w:tcW w:w="6939" w:type="dxa"/>
            <w:tcBorders>
              <w:right w:val="single" w:sz="4" w:space="0" w:color="000000"/>
            </w:tcBorders>
          </w:tcPr>
          <w:p w14:paraId="1103674A"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Baseline Monthly Payment for Service Month “n” which is calculated in accordance with paragraph 2 below;</w:t>
            </w:r>
          </w:p>
        </w:tc>
      </w:tr>
      <w:tr w:rsidR="006B1E0C" w14:paraId="1103674E" w14:textId="77777777">
        <w:tc>
          <w:tcPr>
            <w:tcW w:w="1134" w:type="dxa"/>
            <w:tcBorders>
              <w:left w:val="single" w:sz="4" w:space="0" w:color="000000"/>
            </w:tcBorders>
          </w:tcPr>
          <w:p w14:paraId="1103674C"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PTC</w:t>
            </w:r>
            <w:r>
              <w:rPr>
                <w:rFonts w:ascii="Arial" w:eastAsia="Arial" w:hAnsi="Arial" w:cs="Arial"/>
                <w:color w:val="000000"/>
                <w:sz w:val="24"/>
                <w:szCs w:val="24"/>
                <w:vertAlign w:val="subscript"/>
              </w:rPr>
              <w:t>n-1</w:t>
            </w:r>
            <w:r>
              <w:rPr>
                <w:rFonts w:ascii="Arial" w:eastAsia="Arial" w:hAnsi="Arial" w:cs="Arial"/>
                <w:color w:val="000000"/>
                <w:sz w:val="24"/>
                <w:szCs w:val="24"/>
                <w:vertAlign w:val="subscript"/>
              </w:rPr>
              <w:tab/>
            </w:r>
          </w:p>
        </w:tc>
        <w:tc>
          <w:tcPr>
            <w:tcW w:w="6939" w:type="dxa"/>
            <w:tcBorders>
              <w:right w:val="single" w:sz="4" w:space="0" w:color="000000"/>
            </w:tcBorders>
          </w:tcPr>
          <w:p w14:paraId="1103674D"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PassThrough Costs due in respect of the Previous Service Month which is calculated in accordance with paragraph 3 below; </w:t>
            </w:r>
          </w:p>
        </w:tc>
      </w:tr>
      <w:tr w:rsidR="006B1E0C" w14:paraId="11036751" w14:textId="77777777">
        <w:tc>
          <w:tcPr>
            <w:tcW w:w="1134" w:type="dxa"/>
            <w:tcBorders>
              <w:left w:val="single" w:sz="4" w:space="0" w:color="000000"/>
              <w:bottom w:val="single" w:sz="4" w:space="0" w:color="000000"/>
            </w:tcBorders>
          </w:tcPr>
          <w:p w14:paraId="1103674F"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WO</w:t>
            </w:r>
            <w:r>
              <w:rPr>
                <w:rFonts w:ascii="Arial" w:eastAsia="Arial" w:hAnsi="Arial" w:cs="Arial"/>
                <w:color w:val="000000"/>
                <w:sz w:val="24"/>
                <w:szCs w:val="24"/>
                <w:vertAlign w:val="subscript"/>
              </w:rPr>
              <w:t xml:space="preserve"> n-1</w:t>
            </w:r>
          </w:p>
        </w:tc>
        <w:tc>
          <w:tcPr>
            <w:tcW w:w="6939" w:type="dxa"/>
            <w:tcBorders>
              <w:bottom w:val="single" w:sz="4" w:space="0" w:color="000000"/>
              <w:right w:val="single" w:sz="4" w:space="0" w:color="000000"/>
            </w:tcBorders>
          </w:tcPr>
          <w:p w14:paraId="11036750"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total price for Work Orders which have been completed in the Previous Service Month which shall be calculated in accordance with paragraph 4 below;</w:t>
            </w:r>
          </w:p>
        </w:tc>
      </w:tr>
      <w:tr w:rsidR="006B1E0C" w14:paraId="11036755" w14:textId="77777777">
        <w:trPr>
          <w:trHeight w:val="567"/>
        </w:trPr>
        <w:tc>
          <w:tcPr>
            <w:tcW w:w="1134" w:type="dxa"/>
            <w:tcBorders>
              <w:top w:val="single" w:sz="4" w:space="0" w:color="000000"/>
              <w:left w:val="single" w:sz="4" w:space="0" w:color="000000"/>
            </w:tcBorders>
          </w:tcPr>
          <w:p w14:paraId="11036752" w14:textId="77777777" w:rsidR="006B1E0C" w:rsidRDefault="00040A9F">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TRP</w:t>
            </w:r>
            <w:r>
              <w:rPr>
                <w:rFonts w:ascii="Arial" w:eastAsia="Arial" w:hAnsi="Arial" w:cs="Arial"/>
                <w:color w:val="000000"/>
                <w:sz w:val="24"/>
                <w:szCs w:val="24"/>
                <w:vertAlign w:val="subscript"/>
              </w:rPr>
              <w:t xml:space="preserve"> n-1</w:t>
            </w:r>
          </w:p>
          <w:p w14:paraId="11036753" w14:textId="77777777" w:rsidR="006B1E0C" w:rsidRDefault="006B1E0C">
            <w:pPr>
              <w:ind w:left="0" w:hanging="2"/>
              <w:rPr>
                <w:rFonts w:ascii="Arial" w:eastAsia="Arial" w:hAnsi="Arial" w:cs="Arial"/>
                <w:sz w:val="24"/>
                <w:szCs w:val="24"/>
              </w:rPr>
            </w:pPr>
          </w:p>
        </w:tc>
        <w:tc>
          <w:tcPr>
            <w:tcW w:w="6939" w:type="dxa"/>
            <w:tcBorders>
              <w:top w:val="single" w:sz="4" w:space="0" w:color="000000"/>
              <w:right w:val="single" w:sz="4" w:space="0" w:color="000000"/>
            </w:tcBorders>
          </w:tcPr>
          <w:p w14:paraId="11036754" w14:textId="77777777" w:rsidR="006B1E0C" w:rsidRDefault="00040A9F">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TUPE risk premium payable for the Previous Service Month calculated in accordance with Call-Off Schedule 6 (TUPE Surcharge) ("Monthly TUPE Risk Premium") and</w:t>
            </w:r>
          </w:p>
        </w:tc>
      </w:tr>
      <w:tr w:rsidR="006B1E0C" w14:paraId="11036759" w14:textId="77777777">
        <w:tc>
          <w:tcPr>
            <w:tcW w:w="1134" w:type="dxa"/>
            <w:tcBorders>
              <w:top w:val="single" w:sz="4" w:space="0" w:color="000000"/>
              <w:left w:val="single" w:sz="4" w:space="0" w:color="000000"/>
              <w:bottom w:val="single" w:sz="4" w:space="0" w:color="000000"/>
            </w:tcBorders>
          </w:tcPr>
          <w:p w14:paraId="11036756" w14:textId="77777777" w:rsidR="006B1E0C" w:rsidRDefault="00040A9F">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PA</w:t>
            </w:r>
            <w:r>
              <w:rPr>
                <w:rFonts w:ascii="Arial" w:eastAsia="Arial" w:hAnsi="Arial" w:cs="Arial"/>
                <w:color w:val="000000"/>
                <w:sz w:val="24"/>
                <w:szCs w:val="24"/>
                <w:vertAlign w:val="subscript"/>
              </w:rPr>
              <w:t>n-1</w:t>
            </w:r>
          </w:p>
        </w:tc>
        <w:tc>
          <w:tcPr>
            <w:tcW w:w="6939" w:type="dxa"/>
            <w:tcBorders>
              <w:top w:val="single" w:sz="4" w:space="0" w:color="000000"/>
              <w:bottom w:val="single" w:sz="4" w:space="0" w:color="000000"/>
              <w:right w:val="single" w:sz="4" w:space="0" w:color="000000"/>
            </w:tcBorders>
          </w:tcPr>
          <w:p w14:paraId="11036757" w14:textId="77777777" w:rsidR="006B1E0C" w:rsidRDefault="00040A9F">
            <w:pPr>
              <w:pBdr>
                <w:top w:val="nil"/>
                <w:left w:val="nil"/>
                <w:bottom w:val="nil"/>
                <w:right w:val="nil"/>
                <w:between w:val="nil"/>
              </w:pBdr>
              <w:spacing w:after="12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KPI Credit in respect of the Previous Service Month off set against the Earn Back Amount due (if applicable) for the current 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11036758" w14:textId="77777777" w:rsidR="006B1E0C" w:rsidRDefault="006B1E0C">
            <w:pPr>
              <w:pBdr>
                <w:top w:val="nil"/>
                <w:left w:val="nil"/>
                <w:bottom w:val="nil"/>
                <w:right w:val="nil"/>
                <w:between w:val="nil"/>
              </w:pBdr>
              <w:spacing w:after="120" w:line="240" w:lineRule="auto"/>
              <w:ind w:left="0" w:hanging="2"/>
              <w:rPr>
                <w:rFonts w:ascii="Arial" w:eastAsia="Arial" w:hAnsi="Arial" w:cs="Arial"/>
                <w:b/>
                <w:color w:val="000000"/>
                <w:sz w:val="24"/>
                <w:szCs w:val="24"/>
              </w:rPr>
            </w:pPr>
          </w:p>
        </w:tc>
      </w:tr>
    </w:tbl>
    <w:p w14:paraId="1103675A"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The Monthly Charge due in the final Service Month during the Contract Period will be calculated in accordance with the following formula which will supersede the formula in paragraph 1.2 above (and all terminology used in the following formula will have the same meaning as provided for in paragraph 1.2 above):</w:t>
      </w:r>
    </w:p>
    <w:p w14:paraId="1103675B" w14:textId="77777777" w:rsidR="006B1E0C" w:rsidRDefault="00A025D3" w:rsidP="00FC09AF">
      <w:pPr>
        <w:pBdr>
          <w:top w:val="nil"/>
          <w:left w:val="nil"/>
          <w:bottom w:val="nil"/>
          <w:right w:val="nil"/>
          <w:between w:val="nil"/>
        </w:pBdr>
        <w:spacing w:after="200" w:line="240" w:lineRule="auto"/>
        <w:ind w:left="567" w:hangingChars="237" w:hanging="569"/>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pict w14:anchorId="1103679B">
          <v:shape id="_x0000_i1026" type="#_x0000_t75" style="width:248.45pt;height:15.4pt;visibility:visible">
            <v:imagedata r:id="rId12" o:title=""/>
            <v:path o:extrusionok="t"/>
          </v:shape>
        </w:pict>
      </w:r>
    </w:p>
    <w:p w14:paraId="1103675C"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Following the final Service Month during the Contract Period a balancing payment will be calculated to account for:</w:t>
      </w:r>
    </w:p>
    <w:p w14:paraId="1103675D"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the KPI Credit calculated in respect of the final Service Month;</w:t>
      </w:r>
    </w:p>
    <w:p w14:paraId="1103675E"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the Pass Through Costs incurred within the final Service Month; </w:t>
      </w:r>
    </w:p>
    <w:p w14:paraId="1103675F"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the Monthly TUPE Risk Premium payable in respect of the final Service Month;</w:t>
      </w:r>
    </w:p>
    <w:p w14:paraId="11036760"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any Earn Back Amount payable in respect of the final Service Month; and</w:t>
      </w:r>
    </w:p>
    <w:p w14:paraId="11036761"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the total price for Work Orders which have been completed in the final Service Month,</w:t>
      </w:r>
    </w:p>
    <w:p w14:paraId="11036762" w14:textId="77777777" w:rsidR="006B1E0C" w:rsidRDefault="00040A9F" w:rsidP="00FC09AF">
      <w:pPr>
        <w:pBdr>
          <w:top w:val="nil"/>
          <w:left w:val="nil"/>
          <w:bottom w:val="nil"/>
          <w:right w:val="nil"/>
          <w:between w:val="nil"/>
        </w:pBdr>
        <w:spacing w:line="240" w:lineRule="auto"/>
        <w:ind w:leftChars="256" w:left="565" w:hanging="2"/>
        <w:rPr>
          <w:rFonts w:ascii="Arial" w:eastAsia="Arial" w:hAnsi="Arial" w:cs="Arial"/>
          <w:color w:val="000000"/>
          <w:sz w:val="24"/>
          <w:szCs w:val="24"/>
        </w:rPr>
      </w:pPr>
      <w:r>
        <w:rPr>
          <w:rFonts w:ascii="Arial" w:eastAsia="Arial" w:hAnsi="Arial" w:cs="Arial"/>
          <w:color w:val="000000"/>
          <w:sz w:val="24"/>
          <w:szCs w:val="24"/>
        </w:rPr>
        <w:t xml:space="preserve">and such balancing payment will be paid to, or deducted from, the sums due to the Supplier following the assessment of the Supplier’s performance in the final Service Month. </w:t>
      </w:r>
    </w:p>
    <w:p w14:paraId="11036763"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14:paraId="11036764"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Baseline Monthly Payment</w:t>
      </w:r>
    </w:p>
    <w:p w14:paraId="11036765"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baseline monthly payment ("</w:t>
      </w:r>
      <w:r>
        <w:rPr>
          <w:rFonts w:ascii="Arial" w:eastAsia="Arial" w:hAnsi="Arial" w:cs="Arial"/>
          <w:b/>
          <w:color w:val="000000"/>
          <w:sz w:val="24"/>
          <w:szCs w:val="24"/>
        </w:rPr>
        <w:t>Baseline Monthly Payment</w:t>
      </w:r>
      <w:r>
        <w:rPr>
          <w:rFonts w:ascii="Arial" w:eastAsia="Arial" w:hAnsi="Arial" w:cs="Arial"/>
          <w:color w:val="000000"/>
          <w:sz w:val="24"/>
          <w:szCs w:val="24"/>
        </w:rPr>
        <w:t>") payable in respect of a Service Month shall be set by reference to the Fixed Fee Pricing Matrix as submitted at Further Competition.</w:t>
      </w:r>
    </w:p>
    <w:p w14:paraId="11036766"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Pass Through Costs</w:t>
      </w:r>
    </w:p>
    <w:p w14:paraId="11036767"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Where the Order Form indicates that the Supplier is entitled to claim Pass Through Costs then:</w:t>
      </w:r>
    </w:p>
    <w:p w14:paraId="11036768"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lastRenderedPageBreak/>
        <w:t>only those types of Pass Through Costs set out in the Order Form shall be recoverable;</w:t>
      </w:r>
    </w:p>
    <w:p w14:paraId="11036769" w14:textId="77777777" w:rsidR="006B1E0C" w:rsidRDefault="00040A9F" w:rsidP="00FC09AF">
      <w:pPr>
        <w:numPr>
          <w:ilvl w:val="2"/>
          <w:numId w:val="1"/>
        </w:numPr>
        <w:pBdr>
          <w:top w:val="nil"/>
          <w:left w:val="nil"/>
          <w:bottom w:val="nil"/>
          <w:right w:val="nil"/>
          <w:between w:val="nil"/>
        </w:pBdr>
        <w:spacing w:line="240" w:lineRule="auto"/>
        <w:ind w:leftChars="257" w:left="1129" w:hangingChars="235" w:hanging="564"/>
        <w:rPr>
          <w:rFonts w:ascii="Arial" w:eastAsia="Arial" w:hAnsi="Arial" w:cs="Arial"/>
          <w:color w:val="000000"/>
          <w:sz w:val="24"/>
          <w:szCs w:val="24"/>
        </w:rPr>
      </w:pPr>
      <w:r>
        <w:rPr>
          <w:rFonts w:ascii="Arial" w:eastAsia="Arial" w:hAnsi="Arial" w:cs="Arial"/>
          <w:color w:val="000000"/>
          <w:sz w:val="24"/>
          <w:szCs w:val="24"/>
        </w:rPr>
        <w:t xml:space="preserve">the Pass Through Costs shall only be recoverable where they are incurred in accordance with the guidelines that the Buyer may issue to the Supplier from time to time; </w:t>
      </w:r>
    </w:p>
    <w:p w14:paraId="1103676A"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the Supplier shall not be entitled to charge any additional amount on top of the Pass Through Costs including any margin, mark up or uplift costs; and</w:t>
      </w:r>
    </w:p>
    <w:p w14:paraId="1103676B" w14:textId="77777777" w:rsidR="006B1E0C" w:rsidRDefault="00040A9F" w:rsidP="00FC09AF">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any claim for Pass Through Costs shall be supported by such documentation as the Buyer may request from time to time.</w:t>
      </w:r>
    </w:p>
    <w:p w14:paraId="1103676C"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Work Orders</w:t>
      </w:r>
    </w:p>
    <w:p w14:paraId="1103676D"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 xml:space="preserve">The price for Work Orders shall be calculated using the mechanism set out in Schedule </w:t>
      </w:r>
      <w:r>
        <w:rPr>
          <w:rFonts w:ascii="Arial" w:eastAsia="Arial" w:hAnsi="Arial" w:cs="Arial"/>
          <w:sz w:val="24"/>
          <w:szCs w:val="24"/>
        </w:rPr>
        <w:t>25</w:t>
      </w:r>
      <w:r>
        <w:rPr>
          <w:rFonts w:ascii="Arial" w:eastAsia="Arial" w:hAnsi="Arial" w:cs="Arial"/>
          <w:color w:val="000000"/>
          <w:sz w:val="24"/>
          <w:szCs w:val="24"/>
        </w:rPr>
        <w:t xml:space="preserve"> (Billable Works &amp; Projects).</w:t>
      </w:r>
    </w:p>
    <w:p w14:paraId="1103676E"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Indexation</w:t>
      </w:r>
    </w:p>
    <w:p w14:paraId="1103676F"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 xml:space="preserve">Any amounts or sums in this Call-Off Contract which are expressed in the Order Form to be "subject to Indexation" shall be adjusted in accordance with the provisions of this Paragraph 5 to reflect the effects of inflation.  </w:t>
      </w:r>
    </w:p>
    <w:p w14:paraId="11036770"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Where Indexation applies, the relevant adjustment shall be:</w:t>
      </w:r>
    </w:p>
    <w:p w14:paraId="11036771" w14:textId="77777777" w:rsidR="006B1E0C" w:rsidRDefault="00040A9F" w:rsidP="00FC09AF">
      <w:pPr>
        <w:numPr>
          <w:ilvl w:val="2"/>
          <w:numId w:val="1"/>
        </w:numPr>
        <w:pBdr>
          <w:top w:val="nil"/>
          <w:left w:val="nil"/>
          <w:bottom w:val="nil"/>
          <w:right w:val="nil"/>
          <w:between w:val="nil"/>
        </w:pBdr>
        <w:tabs>
          <w:tab w:val="left" w:pos="1134"/>
        </w:tabs>
        <w:spacing w:line="240" w:lineRule="auto"/>
        <w:ind w:leftChars="256" w:left="1132" w:hangingChars="237" w:hanging="569"/>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applied on the dates set out in the Order Form (each such date an </w:t>
      </w:r>
      <w:r>
        <w:rPr>
          <w:rFonts w:ascii="Arial" w:eastAsia="Arial" w:hAnsi="Arial" w:cs="Arial"/>
          <w:b/>
          <w:color w:val="000000"/>
          <w:sz w:val="24"/>
          <w:szCs w:val="24"/>
        </w:rPr>
        <w:t>"Adjustment Date"</w:t>
      </w:r>
      <w:r>
        <w:rPr>
          <w:rFonts w:ascii="Arial" w:eastAsia="Arial" w:hAnsi="Arial" w:cs="Arial"/>
          <w:color w:val="000000"/>
          <w:sz w:val="24"/>
          <w:szCs w:val="24"/>
        </w:rPr>
        <w:t>); and</w:t>
      </w:r>
    </w:p>
    <w:p w14:paraId="11036772" w14:textId="77777777" w:rsidR="006B1E0C" w:rsidRDefault="00040A9F" w:rsidP="00FC09AF">
      <w:pPr>
        <w:numPr>
          <w:ilvl w:val="2"/>
          <w:numId w:val="1"/>
        </w:numPr>
        <w:pBdr>
          <w:top w:val="nil"/>
          <w:left w:val="nil"/>
          <w:bottom w:val="nil"/>
          <w:right w:val="nil"/>
          <w:between w:val="nil"/>
        </w:pBdr>
        <w:tabs>
          <w:tab w:val="left" w:pos="1134"/>
        </w:tabs>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determined by multiplying the relevant amount or sum by the percentage increase or changes in the Payment Index published since the previous Adjustment Date. </w:t>
      </w:r>
    </w:p>
    <w:p w14:paraId="11036773"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14:paraId="11036774"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If the Payment Index has not been published for the relevant month as required for this calculation then the last published value of the index available at the Adjustment Date shall be used.</w:t>
      </w:r>
    </w:p>
    <w:p w14:paraId="11036775" w14:textId="77777777" w:rsidR="006B1E0C" w:rsidRDefault="00040A9F" w:rsidP="00FC09AF">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Where the Payment Index is no longer published, the Buyer and the Supplier shall agree a fair and reasonable replacement that will have substantially the same effect.</w:t>
      </w:r>
    </w:p>
    <w:p w14:paraId="11036776"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lastRenderedPageBreak/>
        <w:t>Pricing For Variations</w:t>
      </w:r>
    </w:p>
    <w:p w14:paraId="11036777" w14:textId="77777777" w:rsidR="006B1E0C" w:rsidRDefault="00040A9F" w:rsidP="0078351A">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 xml:space="preserve">In addition to the process outlined in paragraph </w:t>
      </w:r>
      <w:r>
        <w:rPr>
          <w:rFonts w:ascii="Arial" w:eastAsia="Arial" w:hAnsi="Arial" w:cs="Arial"/>
          <w:sz w:val="24"/>
          <w:szCs w:val="24"/>
        </w:rPr>
        <w:t>24</w:t>
      </w:r>
      <w:r>
        <w:rPr>
          <w:rFonts w:ascii="Arial" w:eastAsia="Arial" w:hAnsi="Arial" w:cs="Arial"/>
          <w:color w:val="000000"/>
          <w:sz w:val="24"/>
          <w:szCs w:val="24"/>
        </w:rPr>
        <w:t xml:space="preserve"> of the Core Terms, any change in the Charges in relation to a change in the number of buildings within the Buyer Premises or changes to a Deliverable, shall be aligned with and shall use the rates and prices set out in the Fixed Fee Pricing Matrix as submitted at Further Competition, where applicable.</w:t>
      </w:r>
    </w:p>
    <w:p w14:paraId="11036778" w14:textId="77777777" w:rsidR="006B1E0C" w:rsidRDefault="00040A9F" w:rsidP="0078351A">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14:paraId="11036779" w14:textId="328BD80B" w:rsidR="006B1E0C" w:rsidRPr="001B327C" w:rsidRDefault="00040A9F" w:rsidP="001B327C">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The Supplier is responsible for ensuring that a Data Vali</w:t>
      </w:r>
      <w:r>
        <w:rPr>
          <w:rFonts w:ascii="Arial" w:eastAsia="Arial" w:hAnsi="Arial" w:cs="Arial"/>
          <w:sz w:val="24"/>
          <w:szCs w:val="24"/>
        </w:rPr>
        <w:t xml:space="preserve">dation and </w:t>
      </w:r>
      <w:r>
        <w:rPr>
          <w:rFonts w:ascii="Arial" w:eastAsia="Arial" w:hAnsi="Arial" w:cs="Arial"/>
          <w:color w:val="000000"/>
          <w:sz w:val="24"/>
          <w:szCs w:val="24"/>
        </w:rPr>
        <w:t xml:space="preserve">Asset </w:t>
      </w:r>
      <w:r>
        <w:rPr>
          <w:rFonts w:ascii="Arial" w:eastAsia="Arial" w:hAnsi="Arial" w:cs="Arial"/>
          <w:sz w:val="24"/>
          <w:szCs w:val="24"/>
        </w:rPr>
        <w:t>Verification Audit</w:t>
      </w:r>
      <w:r>
        <w:rPr>
          <w:rFonts w:ascii="Arial" w:eastAsia="Arial" w:hAnsi="Arial" w:cs="Arial"/>
          <w:color w:val="000000"/>
          <w:sz w:val="24"/>
          <w:szCs w:val="24"/>
        </w:rPr>
        <w:t xml:space="preserve"> is undertaken and completed </w:t>
      </w:r>
      <w:r w:rsidR="00B95F0F">
        <w:rPr>
          <w:rFonts w:ascii="Arial" w:eastAsia="Arial" w:hAnsi="Arial" w:cs="Arial"/>
          <w:color w:val="000000"/>
          <w:sz w:val="24"/>
          <w:szCs w:val="24"/>
        </w:rPr>
        <w:t xml:space="preserve">during the </w:t>
      </w:r>
      <w:r w:rsidR="001B327C">
        <w:rPr>
          <w:rFonts w:ascii="Arial" w:eastAsia="Arial" w:hAnsi="Arial" w:cs="Arial"/>
          <w:color w:val="000000"/>
          <w:sz w:val="24"/>
          <w:szCs w:val="24"/>
        </w:rPr>
        <w:t xml:space="preserve">Call-Off Contract </w:t>
      </w:r>
      <w:r w:rsidR="00B95F0F">
        <w:rPr>
          <w:rFonts w:ascii="Arial" w:eastAsia="Arial" w:hAnsi="Arial" w:cs="Arial"/>
          <w:color w:val="000000"/>
          <w:sz w:val="24"/>
          <w:szCs w:val="24"/>
        </w:rPr>
        <w:t>Mobilisation Period and/or</w:t>
      </w:r>
      <w:r w:rsidR="00B95F0F" w:rsidRPr="001B327C">
        <w:rPr>
          <w:rFonts w:ascii="Arial" w:eastAsia="Arial" w:hAnsi="Arial" w:cs="Arial"/>
          <w:color w:val="000000"/>
          <w:sz w:val="24"/>
          <w:szCs w:val="24"/>
        </w:rPr>
        <w:t xml:space="preserve"> </w:t>
      </w:r>
      <w:r w:rsidR="001B327C">
        <w:rPr>
          <w:rFonts w:ascii="Arial" w:eastAsia="Arial" w:hAnsi="Arial" w:cs="Arial"/>
          <w:color w:val="000000"/>
          <w:sz w:val="24"/>
          <w:szCs w:val="24"/>
        </w:rPr>
        <w:t xml:space="preserve">during the period of </w:t>
      </w:r>
      <w:r w:rsidR="003D5F83" w:rsidRPr="001B327C">
        <w:rPr>
          <w:rFonts w:ascii="Arial" w:eastAsia="Arial" w:hAnsi="Arial" w:cs="Arial"/>
          <w:color w:val="000000"/>
          <w:sz w:val="24"/>
          <w:szCs w:val="24"/>
        </w:rPr>
        <w:t xml:space="preserve">up to twelve (12) months following the end of the </w:t>
      </w:r>
      <w:r w:rsidR="001B327C">
        <w:rPr>
          <w:rFonts w:ascii="Arial" w:eastAsia="Arial" w:hAnsi="Arial" w:cs="Arial"/>
          <w:color w:val="000000"/>
          <w:sz w:val="24"/>
          <w:szCs w:val="24"/>
        </w:rPr>
        <w:t xml:space="preserve">Call-Off Contract </w:t>
      </w:r>
      <w:r w:rsidR="003D5F83" w:rsidRPr="001B327C">
        <w:rPr>
          <w:rFonts w:ascii="Arial" w:eastAsia="Arial" w:hAnsi="Arial" w:cs="Arial"/>
          <w:color w:val="000000"/>
          <w:sz w:val="24"/>
          <w:szCs w:val="24"/>
        </w:rPr>
        <w:t>Mobilisation Period</w:t>
      </w:r>
      <w:r w:rsidRPr="001B327C">
        <w:rPr>
          <w:rFonts w:ascii="Arial" w:eastAsia="Arial" w:hAnsi="Arial" w:cs="Arial"/>
          <w:color w:val="000000"/>
          <w:sz w:val="24"/>
          <w:szCs w:val="24"/>
        </w:rPr>
        <w:t xml:space="preserve"> to verify the Due Diligence Information</w:t>
      </w:r>
      <w:r w:rsidRPr="001B327C">
        <w:rPr>
          <w:rFonts w:ascii="Arial" w:eastAsia="Arial" w:hAnsi="Arial" w:cs="Arial"/>
          <w:sz w:val="24"/>
          <w:szCs w:val="24"/>
        </w:rPr>
        <w:t>.</w:t>
      </w:r>
      <w:r w:rsidRPr="001B327C">
        <w:rPr>
          <w:rFonts w:ascii="Arial" w:eastAsia="Arial" w:hAnsi="Arial" w:cs="Arial"/>
          <w:color w:val="000000"/>
          <w:sz w:val="24"/>
          <w:szCs w:val="24"/>
        </w:rPr>
        <w:t xml:space="preserve"> Call-Off Pricing revisions for any </w:t>
      </w:r>
      <w:r w:rsidR="001B327C">
        <w:rPr>
          <w:rFonts w:ascii="Arial" w:eastAsia="Arial" w:hAnsi="Arial" w:cs="Arial"/>
          <w:color w:val="000000"/>
          <w:sz w:val="24"/>
          <w:szCs w:val="24"/>
        </w:rPr>
        <w:t>errors,</w:t>
      </w:r>
      <w:r w:rsidRPr="001B327C">
        <w:rPr>
          <w:rFonts w:ascii="Arial" w:eastAsia="Arial" w:hAnsi="Arial" w:cs="Arial"/>
          <w:color w:val="000000"/>
          <w:sz w:val="24"/>
          <w:szCs w:val="24"/>
        </w:rPr>
        <w:t xml:space="preserve"> inaccuracies </w:t>
      </w:r>
      <w:r w:rsidR="001B327C">
        <w:rPr>
          <w:rFonts w:ascii="Arial" w:eastAsia="Arial" w:hAnsi="Arial" w:cs="Arial"/>
          <w:color w:val="000000"/>
          <w:sz w:val="24"/>
          <w:szCs w:val="24"/>
        </w:rPr>
        <w:t xml:space="preserve">or omissions </w:t>
      </w:r>
      <w:r w:rsidRPr="001B327C">
        <w:rPr>
          <w:rFonts w:ascii="Arial" w:eastAsia="Arial" w:hAnsi="Arial" w:cs="Arial"/>
          <w:color w:val="000000"/>
          <w:sz w:val="24"/>
          <w:szCs w:val="24"/>
        </w:rPr>
        <w:t xml:space="preserve">in the Due Diligence Information identified </w:t>
      </w:r>
      <w:r w:rsidR="00D77C52">
        <w:rPr>
          <w:rFonts w:ascii="Arial" w:eastAsia="Arial" w:hAnsi="Arial" w:cs="Arial"/>
          <w:color w:val="000000"/>
          <w:sz w:val="24"/>
          <w:szCs w:val="24"/>
        </w:rPr>
        <w:t>after the</w:t>
      </w:r>
      <w:r w:rsidRPr="001B327C">
        <w:rPr>
          <w:rFonts w:ascii="Arial" w:eastAsia="Arial" w:hAnsi="Arial" w:cs="Arial"/>
          <w:color w:val="000000"/>
          <w:sz w:val="24"/>
          <w:szCs w:val="24"/>
        </w:rPr>
        <w:t xml:space="preserve"> </w:t>
      </w:r>
      <w:r w:rsidR="00565613" w:rsidRPr="001B327C">
        <w:rPr>
          <w:rFonts w:ascii="Arial" w:eastAsia="Arial" w:hAnsi="Arial" w:cs="Arial"/>
          <w:color w:val="000000"/>
          <w:sz w:val="24"/>
          <w:szCs w:val="24"/>
        </w:rPr>
        <w:t xml:space="preserve">twelve (12) months following </w:t>
      </w:r>
      <w:r w:rsidRPr="001B327C">
        <w:rPr>
          <w:rFonts w:ascii="Arial" w:eastAsia="Arial" w:hAnsi="Arial" w:cs="Arial"/>
          <w:color w:val="000000"/>
          <w:sz w:val="24"/>
          <w:szCs w:val="24"/>
        </w:rPr>
        <w:t>the</w:t>
      </w:r>
      <w:r w:rsidR="00D77C52">
        <w:rPr>
          <w:rFonts w:ascii="Arial" w:eastAsia="Arial" w:hAnsi="Arial" w:cs="Arial"/>
          <w:color w:val="000000"/>
          <w:sz w:val="24"/>
          <w:szCs w:val="24"/>
        </w:rPr>
        <w:t xml:space="preserve"> end of the Call-Off Contract</w:t>
      </w:r>
      <w:r w:rsidRPr="001B327C">
        <w:rPr>
          <w:rFonts w:ascii="Arial" w:eastAsia="Arial" w:hAnsi="Arial" w:cs="Arial"/>
          <w:color w:val="000000"/>
          <w:sz w:val="24"/>
          <w:szCs w:val="24"/>
        </w:rPr>
        <w:t xml:space="preserve"> Mobilisation Period are not permitted.</w:t>
      </w:r>
    </w:p>
    <w:p w14:paraId="1103677A" w14:textId="39EBDF8F" w:rsidR="006B1E0C" w:rsidRDefault="00040A9F" w:rsidP="0078351A">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Notwithstanding Clause 2.</w:t>
      </w:r>
      <w:r>
        <w:rPr>
          <w:rFonts w:ascii="Arial" w:eastAsia="Arial" w:hAnsi="Arial" w:cs="Arial"/>
          <w:sz w:val="24"/>
          <w:szCs w:val="24"/>
        </w:rPr>
        <w:t>8 of the Core Terms</w:t>
      </w:r>
      <w:r>
        <w:rPr>
          <w:rFonts w:ascii="Arial" w:eastAsia="Arial" w:hAnsi="Arial" w:cs="Arial"/>
          <w:color w:val="000000"/>
          <w:sz w:val="24"/>
          <w:szCs w:val="24"/>
        </w:rPr>
        <w:t>, where er</w:t>
      </w:r>
      <w:r>
        <w:rPr>
          <w:rFonts w:ascii="Arial" w:eastAsia="Arial" w:hAnsi="Arial" w:cs="Arial"/>
          <w:sz w:val="24"/>
          <w:szCs w:val="24"/>
        </w:rPr>
        <w:t>rors,</w:t>
      </w:r>
      <w:r>
        <w:rPr>
          <w:rFonts w:ascii="Arial" w:eastAsia="Arial" w:hAnsi="Arial" w:cs="Arial"/>
          <w:color w:val="000000"/>
          <w:sz w:val="24"/>
          <w:szCs w:val="24"/>
        </w:rPr>
        <w:t xml:space="preserve"> inaccuracies or omissions in the Service or Asset data provided by the Buyer prior to signature of a Call-Off Contract are identified by the Supplier during the </w:t>
      </w:r>
      <w:r w:rsidR="00D77C52">
        <w:rPr>
          <w:rFonts w:ascii="Arial" w:eastAsia="Arial" w:hAnsi="Arial" w:cs="Arial"/>
          <w:color w:val="000000"/>
          <w:sz w:val="24"/>
          <w:szCs w:val="24"/>
        </w:rPr>
        <w:t>Call-Off Contract Mobilisation Period and/or</w:t>
      </w:r>
      <w:r w:rsidR="00D77C52" w:rsidRPr="001B327C">
        <w:rPr>
          <w:rFonts w:ascii="Arial" w:eastAsia="Arial" w:hAnsi="Arial" w:cs="Arial"/>
          <w:color w:val="000000"/>
          <w:sz w:val="24"/>
          <w:szCs w:val="24"/>
        </w:rPr>
        <w:t xml:space="preserve"> </w:t>
      </w:r>
      <w:r w:rsidR="00D77C52">
        <w:rPr>
          <w:rFonts w:ascii="Arial" w:eastAsia="Arial" w:hAnsi="Arial" w:cs="Arial"/>
          <w:color w:val="000000"/>
          <w:sz w:val="24"/>
          <w:szCs w:val="24"/>
        </w:rPr>
        <w:t xml:space="preserve">during the period of </w:t>
      </w:r>
      <w:r w:rsidR="00D77C52" w:rsidRPr="001B327C">
        <w:rPr>
          <w:rFonts w:ascii="Arial" w:eastAsia="Arial" w:hAnsi="Arial" w:cs="Arial"/>
          <w:color w:val="000000"/>
          <w:sz w:val="24"/>
          <w:szCs w:val="24"/>
        </w:rPr>
        <w:t xml:space="preserve">up to twelve (12) months following the end of the </w:t>
      </w:r>
      <w:r w:rsidR="00D77C52">
        <w:rPr>
          <w:rFonts w:ascii="Arial" w:eastAsia="Arial" w:hAnsi="Arial" w:cs="Arial"/>
          <w:color w:val="000000"/>
          <w:sz w:val="24"/>
          <w:szCs w:val="24"/>
        </w:rPr>
        <w:t xml:space="preserve">Call-Off Contract </w:t>
      </w:r>
      <w:r w:rsidR="00D77C52" w:rsidRPr="001B327C">
        <w:rPr>
          <w:rFonts w:ascii="Arial" w:eastAsia="Arial" w:hAnsi="Arial" w:cs="Arial"/>
          <w:color w:val="000000"/>
          <w:sz w:val="24"/>
          <w:szCs w:val="24"/>
        </w:rPr>
        <w:t>Mobilisation Period</w:t>
      </w:r>
      <w:r w:rsidR="00CE74EB">
        <w:rPr>
          <w:rFonts w:ascii="Arial" w:eastAsia="Arial" w:hAnsi="Arial" w:cs="Arial"/>
          <w:color w:val="000000"/>
          <w:sz w:val="24"/>
          <w:szCs w:val="24"/>
        </w:rPr>
        <w:t xml:space="preserve"> </w:t>
      </w:r>
      <w:r w:rsidR="008C5E73">
        <w:rPr>
          <w:rFonts w:ascii="Arial" w:eastAsia="Arial" w:hAnsi="Arial" w:cs="Arial"/>
          <w:color w:val="000000"/>
          <w:sz w:val="24"/>
          <w:szCs w:val="24"/>
        </w:rPr>
        <w:t>as per paragraph 6.3 above</w:t>
      </w:r>
      <w:r>
        <w:rPr>
          <w:rFonts w:ascii="Arial" w:eastAsia="Arial" w:hAnsi="Arial" w:cs="Arial"/>
          <w:color w:val="000000"/>
          <w:sz w:val="24"/>
          <w:szCs w:val="24"/>
        </w:rPr>
        <w:t xml:space="preserve">, the following shall apply: </w:t>
      </w:r>
    </w:p>
    <w:p w14:paraId="1103677B" w14:textId="5152344B" w:rsidR="006B1E0C" w:rsidRDefault="00040A9F" w:rsidP="0078351A">
      <w:pPr>
        <w:numPr>
          <w:ilvl w:val="3"/>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in accordance with the maximum Framework Price unit-of-measure rate (i.e. the capped rate) under Framework Schedule 3, the Supplier may, using the Variation procedure, request an adjustment to the Call-Off Contract pricing</w:t>
      </w:r>
      <w:r w:rsidR="001B327C">
        <w:rPr>
          <w:rFonts w:ascii="Arial" w:eastAsia="Arial" w:hAnsi="Arial" w:cs="Arial"/>
          <w:color w:val="000000"/>
          <w:sz w:val="24"/>
          <w:szCs w:val="24"/>
        </w:rPr>
        <w:t>, which shall not be unreasonably rejected by the Buyer,</w:t>
      </w:r>
      <w:r>
        <w:rPr>
          <w:rFonts w:ascii="Arial" w:eastAsia="Arial" w:hAnsi="Arial" w:cs="Arial"/>
          <w:color w:val="000000"/>
          <w:sz w:val="24"/>
          <w:szCs w:val="24"/>
        </w:rPr>
        <w:t xml:space="preserve"> where the Supplier can present written evidence that the Standard Service Pricing classification for the Service, which was provided by the Buyer prior to entering into the  Call-Off Contract, was incorrect; </w:t>
      </w:r>
    </w:p>
    <w:p w14:paraId="1103677C" w14:textId="690F7C0D" w:rsidR="006B1E0C" w:rsidRDefault="00040A9F" w:rsidP="0078351A">
      <w:pPr>
        <w:numPr>
          <w:ilvl w:val="3"/>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w:t>
      </w:r>
      <w:r w:rsidR="001B327C">
        <w:rPr>
          <w:rFonts w:ascii="Arial" w:eastAsia="Arial" w:hAnsi="Arial" w:cs="Arial"/>
          <w:color w:val="000000"/>
          <w:sz w:val="24"/>
          <w:szCs w:val="24"/>
        </w:rPr>
        <w:t>, which shall not be unreasonably rejected by the Buyer,</w:t>
      </w:r>
      <w:r>
        <w:rPr>
          <w:rFonts w:ascii="Arial" w:eastAsia="Arial" w:hAnsi="Arial" w:cs="Arial"/>
          <w:color w:val="000000"/>
          <w:sz w:val="24"/>
          <w:szCs w:val="24"/>
        </w:rPr>
        <w:t xml:space="preserve">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14:paraId="1103677D" w14:textId="4D9F9621" w:rsidR="006B1E0C" w:rsidRDefault="00040A9F" w:rsidP="0078351A">
      <w:pPr>
        <w:numPr>
          <w:ilvl w:val="3"/>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lastRenderedPageBreak/>
        <w:t>Where Services where no Framework Contract Pricing unit-of-measure rate applies are ordered under a Call-Off the Supplier may, using the Variation procedure, request an adjustment to the Call-Off Contract pricing</w:t>
      </w:r>
      <w:r w:rsidR="001B327C">
        <w:rPr>
          <w:rFonts w:ascii="Arial" w:eastAsia="Arial" w:hAnsi="Arial" w:cs="Arial"/>
          <w:color w:val="000000"/>
          <w:sz w:val="24"/>
          <w:szCs w:val="24"/>
        </w:rPr>
        <w:t>, which shall not be unreasonably rejected by the Buyer,</w:t>
      </w:r>
      <w:r>
        <w:rPr>
          <w:rFonts w:ascii="Arial" w:eastAsia="Arial" w:hAnsi="Arial" w:cs="Arial"/>
          <w:color w:val="000000"/>
          <w:sz w:val="24"/>
          <w:szCs w:val="24"/>
        </w:rPr>
        <w:t xml:space="preserve"> where the Supplier can present written evidence that the Due Diligence Information provided by the Buyer prior to entering into the Call-Off Contract contained </w:t>
      </w:r>
      <w:r>
        <w:rPr>
          <w:rFonts w:ascii="Arial" w:eastAsia="Arial" w:hAnsi="Arial" w:cs="Arial"/>
          <w:sz w:val="24"/>
          <w:szCs w:val="24"/>
        </w:rPr>
        <w:t xml:space="preserve">errors, inaccuracies or omissions </w:t>
      </w:r>
      <w:r>
        <w:rPr>
          <w:rFonts w:ascii="Arial" w:eastAsia="Arial" w:hAnsi="Arial" w:cs="Arial"/>
          <w:color w:val="000000"/>
          <w:sz w:val="24"/>
          <w:szCs w:val="24"/>
        </w:rPr>
        <w:t xml:space="preserve">that led to incorrect pricing by the Supplier. </w:t>
      </w:r>
    </w:p>
    <w:p w14:paraId="1103677E"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Changes To Minimum / Living Wage</w:t>
      </w:r>
    </w:p>
    <w:p w14:paraId="1103677F" w14:textId="77777777" w:rsidR="006B1E0C" w:rsidRDefault="00040A9F" w:rsidP="0078351A">
      <w:pPr>
        <w:numPr>
          <w:ilvl w:val="1"/>
          <w:numId w:val="1"/>
        </w:numPr>
        <w:pBdr>
          <w:top w:val="nil"/>
          <w:left w:val="nil"/>
          <w:bottom w:val="nil"/>
          <w:right w:val="nil"/>
          <w:between w:val="nil"/>
        </w:pBdr>
        <w:spacing w:line="240" w:lineRule="auto"/>
        <w:ind w:leftChars="1" w:left="566" w:hangingChars="235" w:hanging="564"/>
        <w:rPr>
          <w:rFonts w:ascii="Arial" w:eastAsia="Arial" w:hAnsi="Arial" w:cs="Arial"/>
          <w:color w:val="000000"/>
          <w:sz w:val="24"/>
          <w:szCs w:val="24"/>
        </w:rPr>
      </w:pPr>
      <w:r>
        <w:rPr>
          <w:rFonts w:ascii="Arial" w:eastAsia="Arial" w:hAnsi="Arial" w:cs="Arial"/>
          <w:color w:val="000000"/>
          <w:sz w:val="24"/>
          <w:szCs w:val="24"/>
        </w:rPr>
        <w:t>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p>
    <w:p w14:paraId="11036780" w14:textId="77777777" w:rsidR="006B1E0C" w:rsidRDefault="00040A9F" w:rsidP="0078351A">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Suppliers must include in their Impact Assessment evidence of the:</w:t>
      </w:r>
    </w:p>
    <w:p w14:paraId="11036781"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Supplier Personnel affected by the Mandatory Wage Increase and the Services that they provide; </w:t>
      </w:r>
    </w:p>
    <w:p w14:paraId="11036782"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affected Supplier Personnel’s current hourly rate of pay; and</w:t>
      </w:r>
    </w:p>
    <w:p w14:paraId="11036783"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the number of hours worked by each of the affected Supplier Personnel.  </w:t>
      </w:r>
    </w:p>
    <w:p w14:paraId="11036784" w14:textId="77777777" w:rsidR="006B1E0C" w:rsidRDefault="00040A9F" w:rsidP="003D3E96">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sz w:val="24"/>
          <w:szCs w:val="24"/>
        </w:rPr>
        <w:t>It is the Buyer’s discretion</w:t>
      </w:r>
      <w:r>
        <w:rPr>
          <w:rFonts w:ascii="Arial" w:eastAsia="Arial" w:hAnsi="Arial" w:cs="Arial"/>
          <w:color w:val="000000"/>
          <w:sz w:val="24"/>
          <w:szCs w:val="24"/>
        </w:rPr>
        <w:t xml:space="preserve"> to accept the Variation request under this Paragraph 7 and must not accept any variation request that:</w:t>
      </w:r>
    </w:p>
    <w:p w14:paraId="11036785"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exceeds the difference between the Indexation Rate and the current Mandatory Wage rate increase for each member of the Supplier Personnel affected by the Mandatory Wage increase;</w:t>
      </w:r>
    </w:p>
    <w:p w14:paraId="11036786"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seeks to increases in the Charges which go beyond the Services affected by the Mandatory Wage increase; and </w:t>
      </w:r>
    </w:p>
    <w:p w14:paraId="11036787"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 xml:space="preserve">increases the Charges in respect of those Supplier Personnel on an hourly rate already in excess of the Mandatory Wage (whether or not to maintain differentials between the affected Supplier Personnel and higher paid Supplier Personnel). </w:t>
      </w:r>
    </w:p>
    <w:p w14:paraId="11036788"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Invoicing</w:t>
      </w:r>
    </w:p>
    <w:p w14:paraId="11036789" w14:textId="77777777" w:rsidR="006B1E0C" w:rsidRDefault="00040A9F" w:rsidP="003D3E96">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w:t>
      </w:r>
      <w:r>
        <w:rPr>
          <w:rFonts w:ascii="Arial" w:eastAsia="Arial" w:hAnsi="Arial" w:cs="Arial"/>
          <w:sz w:val="24"/>
          <w:szCs w:val="24"/>
        </w:rPr>
        <w:t>ing</w:t>
      </w:r>
      <w:r>
        <w:rPr>
          <w:rFonts w:ascii="Arial" w:eastAsia="Arial" w:hAnsi="Arial" w:cs="Arial"/>
          <w:color w:val="000000"/>
          <w:sz w:val="24"/>
          <w:szCs w:val="24"/>
        </w:rPr>
        <w:t xml:space="preserve"> and payments) the Supplier shall ensure that each invoice it prepares in relation to the Charges:</w:t>
      </w:r>
    </w:p>
    <w:p w14:paraId="1103678A"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1103678B"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lastRenderedPageBreak/>
        <w:t>specifies the Deliverables to which the invoice relates;</w:t>
      </w:r>
    </w:p>
    <w:p w14:paraId="1103678C"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1103678D"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14:paraId="1103678E" w14:textId="77777777" w:rsidR="006B1E0C" w:rsidRDefault="00040A9F" w:rsidP="003D3E96">
      <w:pPr>
        <w:numPr>
          <w:ilvl w:val="2"/>
          <w:numId w:val="1"/>
        </w:numPr>
        <w:pBdr>
          <w:top w:val="nil"/>
          <w:left w:val="nil"/>
          <w:bottom w:val="nil"/>
          <w:right w:val="nil"/>
          <w:between w:val="nil"/>
        </w:pBdr>
        <w:spacing w:line="240" w:lineRule="auto"/>
        <w:ind w:leftChars="256" w:left="1132" w:hangingChars="237" w:hanging="569"/>
        <w:rPr>
          <w:rFonts w:ascii="Arial" w:eastAsia="Arial" w:hAnsi="Arial" w:cs="Arial"/>
          <w:color w:val="000000"/>
          <w:sz w:val="24"/>
          <w:szCs w:val="24"/>
        </w:rPr>
      </w:pPr>
      <w:r>
        <w:rPr>
          <w:rFonts w:ascii="Arial" w:eastAsia="Arial" w:hAnsi="Arial" w:cs="Arial"/>
          <w:color w:val="000000"/>
          <w:sz w:val="24"/>
          <w:szCs w:val="24"/>
        </w:rPr>
        <w:t>specifies the Supplier's VAT code.</w:t>
      </w:r>
    </w:p>
    <w:p w14:paraId="1103678F" w14:textId="77777777" w:rsidR="006B1E0C" w:rsidRDefault="00040A9F" w:rsidP="003D3E96">
      <w:pPr>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14:paraId="11036790"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E</w:t>
      </w:r>
      <w:r>
        <w:rPr>
          <w:rFonts w:ascii="Arial" w:eastAsia="Arial" w:hAnsi="Arial" w:cs="Arial"/>
          <w:b/>
          <w:sz w:val="24"/>
          <w:szCs w:val="24"/>
        </w:rPr>
        <w:t>xtension Period</w:t>
      </w:r>
    </w:p>
    <w:p w14:paraId="11036791" w14:textId="77777777" w:rsidR="006B1E0C" w:rsidRDefault="00040A9F" w:rsidP="003D3E96">
      <w:pPr>
        <w:numPr>
          <w:ilvl w:val="1"/>
          <w:numId w:val="1"/>
        </w:numPr>
        <w:pBdr>
          <w:top w:val="nil"/>
          <w:left w:val="nil"/>
          <w:bottom w:val="nil"/>
          <w:right w:val="nil"/>
          <w:between w:val="nil"/>
        </w:pBdr>
        <w:spacing w:line="240" w:lineRule="auto"/>
        <w:ind w:leftChars="1" w:left="566" w:hangingChars="235" w:hanging="564"/>
        <w:rPr>
          <w:rFonts w:ascii="Arial" w:eastAsia="Arial" w:hAnsi="Arial" w:cs="Arial"/>
          <w:color w:val="000000"/>
          <w:sz w:val="24"/>
          <w:szCs w:val="24"/>
        </w:rPr>
      </w:pPr>
      <w:r>
        <w:rPr>
          <w:rFonts w:ascii="Arial" w:eastAsia="Arial" w:hAnsi="Arial" w:cs="Arial"/>
          <w:color w:val="000000"/>
          <w:sz w:val="24"/>
          <w:szCs w:val="24"/>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14:paraId="11036792" w14:textId="77777777" w:rsidR="006B1E0C" w:rsidRDefault="00040A9F">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lastRenderedPageBreak/>
        <w:t>Payments Due On Termination</w:t>
      </w:r>
    </w:p>
    <w:p w14:paraId="11036793" w14:textId="77777777" w:rsidR="006B1E0C" w:rsidRDefault="00040A9F" w:rsidP="003D3E96">
      <w:pPr>
        <w:keepNext/>
        <w:numPr>
          <w:ilvl w:val="1"/>
          <w:numId w:val="1"/>
        </w:numPr>
        <w:pBdr>
          <w:top w:val="nil"/>
          <w:left w:val="nil"/>
          <w:bottom w:val="nil"/>
          <w:right w:val="nil"/>
          <w:between w:val="nil"/>
        </w:pBdr>
        <w:spacing w:line="240" w:lineRule="auto"/>
        <w:ind w:left="567" w:hangingChars="237" w:hanging="569"/>
        <w:rPr>
          <w:rFonts w:ascii="Arial" w:eastAsia="Arial" w:hAnsi="Arial" w:cs="Arial"/>
          <w:color w:val="000000"/>
          <w:sz w:val="24"/>
          <w:szCs w:val="24"/>
        </w:rPr>
      </w:pPr>
      <w:r>
        <w:rPr>
          <w:rFonts w:ascii="Arial" w:eastAsia="Arial" w:hAnsi="Arial" w:cs="Arial"/>
          <w:color w:val="000000"/>
          <w:sz w:val="24"/>
          <w:szCs w:val="24"/>
        </w:rPr>
        <w:t>Upon termination of the Contract by the Buyer in accordance with clause 10.</w:t>
      </w:r>
      <w:r>
        <w:rPr>
          <w:rFonts w:ascii="Arial" w:eastAsia="Arial" w:hAnsi="Arial" w:cs="Arial"/>
          <w:sz w:val="24"/>
          <w:szCs w:val="24"/>
        </w:rPr>
        <w:t>2</w:t>
      </w:r>
      <w:r>
        <w:rPr>
          <w:rFonts w:ascii="Arial" w:eastAsia="Arial" w:hAnsi="Arial" w:cs="Arial"/>
          <w:color w:val="000000"/>
          <w:sz w:val="24"/>
          <w:szCs w:val="24"/>
        </w:rPr>
        <w:t>.2 Core Terms (and for the avoidance of doubt including partial termination under 10.7), the amount that is due for payment will be as set out below:</w:t>
      </w:r>
    </w:p>
    <w:p w14:paraId="11036794" w14:textId="77777777" w:rsidR="006B1E0C" w:rsidRDefault="00040A9F" w:rsidP="003D3E96">
      <w:pPr>
        <w:keepNext/>
        <w:numPr>
          <w:ilvl w:val="2"/>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the Charges for Deliverables which have been properly provided by the Supplier in accordance with the terms of the Contract; </w:t>
      </w:r>
    </w:p>
    <w:p w14:paraId="11036795" w14:textId="77777777" w:rsidR="006B1E0C" w:rsidRDefault="00040A9F" w:rsidP="003D3E96">
      <w:pPr>
        <w:keepNext/>
        <w:numPr>
          <w:ilvl w:val="2"/>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any reasonable and proven direct costs incurred by the Supplier for removing Supplier Equipment and/or demobilising;</w:t>
      </w:r>
    </w:p>
    <w:p w14:paraId="11036796" w14:textId="77777777" w:rsidR="006B1E0C" w:rsidRDefault="00040A9F" w:rsidP="003D3E96">
      <w:pPr>
        <w:keepNext/>
        <w:numPr>
          <w:ilvl w:val="2"/>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any reasonable and proved unrecovered investment costs directly applicable to the provision of the Deliverables, if applicable; and</w:t>
      </w:r>
    </w:p>
    <w:p w14:paraId="11036797" w14:textId="77777777" w:rsidR="006B1E0C" w:rsidRDefault="00040A9F" w:rsidP="003D3E96">
      <w:pPr>
        <w:keepNext/>
        <w:numPr>
          <w:ilvl w:val="2"/>
          <w:numId w:val="1"/>
        </w:numPr>
        <w:pBdr>
          <w:top w:val="nil"/>
          <w:left w:val="nil"/>
          <w:bottom w:val="nil"/>
          <w:right w:val="nil"/>
          <w:between w:val="nil"/>
        </w:pBdr>
        <w:spacing w:line="240" w:lineRule="auto"/>
        <w:ind w:leftChars="514" w:left="1133" w:hanging="2"/>
        <w:rPr>
          <w:rFonts w:ascii="Arial" w:eastAsia="Arial" w:hAnsi="Arial" w:cs="Arial"/>
          <w:color w:val="000000"/>
          <w:sz w:val="24"/>
          <w:szCs w:val="24"/>
        </w:rPr>
      </w:pPr>
      <w:r>
        <w:rPr>
          <w:rFonts w:ascii="Arial" w:eastAsia="Arial" w:hAnsi="Arial" w:cs="Arial"/>
          <w:color w:val="000000"/>
          <w:sz w:val="24"/>
          <w:szCs w:val="24"/>
        </w:rPr>
        <w:t>any other Costs reasonably incurred in expectation of completing the whole of the Services and any amounts retained by the Supplier,</w:t>
      </w:r>
    </w:p>
    <w:p w14:paraId="11036798" w14:textId="77777777" w:rsidR="006B1E0C" w:rsidRDefault="00040A9F" w:rsidP="002952A8">
      <w:pPr>
        <w:spacing w:after="0" w:line="240" w:lineRule="auto"/>
        <w:ind w:leftChars="257" w:left="565" w:firstLineChars="0" w:firstLine="0"/>
        <w:jc w:val="left"/>
        <w:rPr>
          <w:rFonts w:ascii="Arial" w:eastAsia="Arial" w:hAnsi="Arial" w:cs="Arial"/>
          <w:color w:val="000000"/>
          <w:sz w:val="24"/>
          <w:szCs w:val="24"/>
        </w:rPr>
      </w:pPr>
      <w:r>
        <w:rPr>
          <w:rFonts w:ascii="Arial" w:eastAsia="Arial" w:hAnsi="Arial" w:cs="Arial"/>
          <w:color w:val="000000"/>
          <w:sz w:val="24"/>
          <w:szCs w:val="24"/>
        </w:rPr>
        <w:t>provided that such amounts shall only be recoverable if and to the extent that the Supplier has used all reasonable endeavours to minimise them.</w:t>
      </w:r>
    </w:p>
    <w:p w14:paraId="11036799" w14:textId="28EC4851" w:rsidR="006B1E0C" w:rsidRDefault="006B1E0C">
      <w:pPr>
        <w:tabs>
          <w:tab w:val="left" w:pos="756"/>
        </w:tabs>
        <w:ind w:left="0" w:hanging="2"/>
        <w:rPr>
          <w:rFonts w:ascii="Arial" w:eastAsia="Arial" w:hAnsi="Arial" w:cs="Arial"/>
          <w:sz w:val="24"/>
          <w:szCs w:val="24"/>
        </w:rPr>
      </w:pPr>
      <w:bookmarkStart w:id="12" w:name="_heading=h.3rdcrjn" w:colFirst="0" w:colLast="0"/>
      <w:bookmarkEnd w:id="12"/>
    </w:p>
    <w:p w14:paraId="0B9F1D53" w14:textId="2DFC4845" w:rsidR="00B56B0B" w:rsidRDefault="00B56B0B">
      <w:pPr>
        <w:tabs>
          <w:tab w:val="left" w:pos="756"/>
        </w:tabs>
        <w:ind w:left="0" w:hanging="2"/>
        <w:rPr>
          <w:rFonts w:ascii="Arial" w:eastAsia="Arial" w:hAnsi="Arial" w:cs="Arial"/>
          <w:b/>
          <w:bCs/>
          <w:sz w:val="24"/>
          <w:szCs w:val="24"/>
        </w:rPr>
      </w:pPr>
      <w:r w:rsidRPr="00B56B0B">
        <w:rPr>
          <w:rFonts w:ascii="Arial" w:eastAsia="Arial" w:hAnsi="Arial" w:cs="Arial"/>
          <w:b/>
          <w:bCs/>
          <w:sz w:val="24"/>
          <w:szCs w:val="24"/>
        </w:rPr>
        <w:t>SUPPLIER PRICING</w:t>
      </w:r>
    </w:p>
    <w:p w14:paraId="426D56E2" w14:textId="1A2C9D29" w:rsidR="00B56B0B" w:rsidRDefault="00C37676">
      <w:pPr>
        <w:tabs>
          <w:tab w:val="left" w:pos="756"/>
        </w:tabs>
        <w:ind w:left="0" w:hanging="2"/>
        <w:rPr>
          <w:rFonts w:ascii="Arial" w:eastAsia="Arial" w:hAnsi="Arial" w:cs="Arial"/>
          <w:b/>
          <w:bCs/>
          <w:sz w:val="24"/>
          <w:szCs w:val="24"/>
        </w:rPr>
      </w:pPr>
      <w:r w:rsidRPr="00C37676">
        <w:rPr>
          <w:rFonts w:ascii="Arial" w:eastAsia="Arial" w:hAnsi="Arial" w:cs="Arial"/>
          <w:b/>
          <w:bCs/>
          <w:sz w:val="24"/>
          <w:szCs w:val="24"/>
        </w:rPr>
        <w:t>REDACTED TEXT under FOIA Section 43 Commercial Interests</w:t>
      </w:r>
    </w:p>
    <w:p w14:paraId="73FD77FB" w14:textId="607F9B0E" w:rsidR="00B56B0B" w:rsidRPr="00B56B0B" w:rsidRDefault="00B56B0B">
      <w:pPr>
        <w:tabs>
          <w:tab w:val="left" w:pos="756"/>
        </w:tabs>
        <w:ind w:left="0" w:hanging="2"/>
        <w:rPr>
          <w:rFonts w:ascii="Arial" w:eastAsia="Arial" w:hAnsi="Arial" w:cs="Arial"/>
          <w:b/>
          <w:bCs/>
          <w:sz w:val="24"/>
          <w:szCs w:val="24"/>
        </w:rPr>
      </w:pPr>
    </w:p>
    <w:sectPr w:rsidR="00B56B0B" w:rsidRPr="00B56B0B">
      <w:headerReference w:type="even" r:id="rId13"/>
      <w:headerReference w:type="default" r:id="rId14"/>
      <w:footerReference w:type="even" r:id="rId15"/>
      <w:footerReference w:type="default" r:id="rId16"/>
      <w:headerReference w:type="first" r:id="rId17"/>
      <w:footerReference w:type="first" r:id="rId18"/>
      <w:pgSz w:w="11909" w:h="16834"/>
      <w:pgMar w:top="1440" w:right="1440" w:bottom="1440" w:left="1440"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B646E" w14:textId="77777777" w:rsidR="00A025D3" w:rsidRDefault="00A025D3">
      <w:pPr>
        <w:spacing w:after="0" w:line="240" w:lineRule="auto"/>
        <w:ind w:left="0" w:hanging="2"/>
      </w:pPr>
      <w:r>
        <w:separator/>
      </w:r>
    </w:p>
  </w:endnote>
  <w:endnote w:type="continuationSeparator" w:id="0">
    <w:p w14:paraId="0A09483D" w14:textId="77777777" w:rsidR="00A025D3" w:rsidRDefault="00A025D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5" w14:textId="77777777" w:rsidR="006B1E0C" w:rsidRDefault="006B1E0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6" w14:textId="77777777" w:rsidR="006B1E0C" w:rsidRDefault="006B1E0C">
    <w:pPr>
      <w:tabs>
        <w:tab w:val="center" w:pos="4513"/>
        <w:tab w:val="right" w:pos="9026"/>
      </w:tabs>
      <w:spacing w:after="0" w:line="240" w:lineRule="auto"/>
      <w:ind w:left="0" w:hanging="2"/>
      <w:rPr>
        <w:rFonts w:ascii="Calibri" w:eastAsia="Calibri" w:hAnsi="Calibri" w:cs="Calibri"/>
      </w:rPr>
    </w:pPr>
  </w:p>
  <w:p w14:paraId="110367A7"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6232</w:t>
    </w:r>
  </w:p>
  <w:p w14:paraId="110367A8"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0091D">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110367A9"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 xml:space="preserve">Model Version: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E"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6232</w:t>
    </w:r>
  </w:p>
  <w:p w14:paraId="110367AF"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0091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10367B0" w14:textId="77777777" w:rsidR="006B1E0C" w:rsidRDefault="00040A9F">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 xml:space="preserve">Model Version: </w:t>
    </w:r>
  </w:p>
  <w:p w14:paraId="110367B1" w14:textId="77777777" w:rsidR="006B1E0C" w:rsidRDefault="006B1E0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0A9F1" w14:textId="77777777" w:rsidR="00A025D3" w:rsidRDefault="00A025D3">
      <w:pPr>
        <w:spacing w:after="0" w:line="240" w:lineRule="auto"/>
        <w:ind w:left="0" w:hanging="2"/>
      </w:pPr>
      <w:r>
        <w:separator/>
      </w:r>
    </w:p>
  </w:footnote>
  <w:footnote w:type="continuationSeparator" w:id="0">
    <w:p w14:paraId="10E43D1B" w14:textId="77777777" w:rsidR="00A025D3" w:rsidRDefault="00A025D3">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0" w14:textId="77777777" w:rsidR="006B1E0C" w:rsidRDefault="006B1E0C">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1" w14:textId="77777777" w:rsidR="006B1E0C" w:rsidRDefault="00040A9F">
    <w:pPr>
      <w:tabs>
        <w:tab w:val="center" w:pos="4513"/>
        <w:tab w:val="right" w:pos="9026"/>
      </w:tabs>
      <w:spacing w:after="0" w:line="240" w:lineRule="auto"/>
      <w:ind w:left="0" w:hanging="2"/>
      <w:rPr>
        <w:rFonts w:ascii="Arial" w:eastAsia="Arial" w:hAnsi="Arial" w:cs="Arial"/>
        <w:b/>
        <w:sz w:val="20"/>
        <w:szCs w:val="20"/>
      </w:rPr>
    </w:pPr>
    <w:r>
      <w:rPr>
        <w:rFonts w:ascii="Arial" w:eastAsia="Arial" w:hAnsi="Arial" w:cs="Arial"/>
        <w:b/>
        <w:sz w:val="20"/>
        <w:szCs w:val="20"/>
      </w:rPr>
      <w:t xml:space="preserve">Call-Off Schedule 5 (Pricing Details) </w:t>
    </w:r>
  </w:p>
  <w:p w14:paraId="110367A2" w14:textId="77777777" w:rsidR="006B1E0C" w:rsidRDefault="00040A9F">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Call-Off Ref:</w:t>
    </w:r>
  </w:p>
  <w:p w14:paraId="110367A3" w14:textId="77777777" w:rsidR="006B1E0C" w:rsidRDefault="00040A9F">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2021</w:t>
    </w:r>
  </w:p>
  <w:p w14:paraId="110367A4" w14:textId="77777777" w:rsidR="006B1E0C" w:rsidRDefault="006B1E0C">
    <w:pPr>
      <w:pBdr>
        <w:top w:val="nil"/>
        <w:left w:val="nil"/>
        <w:bottom w:val="nil"/>
        <w:right w:val="nil"/>
        <w:between w:val="nil"/>
      </w:pBdr>
      <w:tabs>
        <w:tab w:val="center" w:pos="4153"/>
        <w:tab w:val="right" w:pos="8306"/>
      </w:tabs>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7AA" w14:textId="77777777" w:rsidR="006B1E0C" w:rsidRDefault="00040A9F">
    <w:pP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b/>
        <w:color w:val="000000"/>
        <w:sz w:val="20"/>
        <w:szCs w:val="20"/>
      </w:rPr>
      <w:t>Call-Off Schedule 5 (Pricing Details)</w:t>
    </w:r>
  </w:p>
  <w:p w14:paraId="110367AB" w14:textId="77777777" w:rsidR="006B1E0C" w:rsidRDefault="00040A9F">
    <w:pPr>
      <w:tabs>
        <w:tab w:val="center" w:pos="4513"/>
        <w:tab w:val="right" w:pos="9026"/>
      </w:tabs>
      <w:spacing w:after="0" w:line="240" w:lineRule="auto"/>
      <w:ind w:left="0" w:hanging="2"/>
      <w:jc w:val="left"/>
      <w:rPr>
        <w:rFonts w:ascii="Arial" w:eastAsia="Arial" w:hAnsi="Arial" w:cs="Arial"/>
        <w:color w:val="000000"/>
        <w:sz w:val="20"/>
        <w:szCs w:val="20"/>
      </w:rPr>
    </w:pPr>
    <w:bookmarkStart w:id="13" w:name="_heading=h.1fob9te" w:colFirst="0" w:colLast="0"/>
    <w:bookmarkEnd w:id="13"/>
    <w:r>
      <w:rPr>
        <w:rFonts w:ascii="Arial" w:eastAsia="Arial" w:hAnsi="Arial" w:cs="Arial"/>
        <w:color w:val="000000"/>
        <w:sz w:val="20"/>
        <w:szCs w:val="20"/>
      </w:rPr>
      <w:t xml:space="preserve">Call-Off Ref: </w:t>
    </w:r>
  </w:p>
  <w:p w14:paraId="110367AC" w14:textId="77777777" w:rsidR="006B1E0C" w:rsidRDefault="00040A9F">
    <w:pPr>
      <w:tabs>
        <w:tab w:val="center" w:pos="4513"/>
        <w:tab w:val="right" w:pos="9026"/>
      </w:tabs>
      <w:spacing w:after="0" w:line="240" w:lineRule="auto"/>
      <w:ind w:left="0" w:hanging="2"/>
      <w:jc w:val="left"/>
      <w:rPr>
        <w:rFonts w:ascii="Arial" w:eastAsia="Arial" w:hAnsi="Arial" w:cs="Arial"/>
        <w:color w:val="000000"/>
        <w:sz w:val="20"/>
        <w:szCs w:val="20"/>
      </w:rPr>
    </w:pPr>
    <w:r>
      <w:rPr>
        <w:rFonts w:ascii="Arial" w:eastAsia="Arial" w:hAnsi="Arial" w:cs="Arial"/>
        <w:color w:val="000000"/>
        <w:sz w:val="20"/>
        <w:szCs w:val="20"/>
      </w:rPr>
      <w:t>Crown Copyright 2021</w:t>
    </w:r>
  </w:p>
  <w:p w14:paraId="110367AD" w14:textId="77777777" w:rsidR="006B1E0C" w:rsidRDefault="006B1E0C">
    <w:pPr>
      <w:pBdr>
        <w:top w:val="nil"/>
        <w:left w:val="nil"/>
        <w:bottom w:val="nil"/>
        <w:right w:val="nil"/>
        <w:between w:val="nil"/>
      </w:pBdr>
      <w:tabs>
        <w:tab w:val="center" w:pos="4153"/>
        <w:tab w:val="right" w:pos="830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955B9"/>
    <w:multiLevelType w:val="multilevel"/>
    <w:tmpl w:val="BD0853E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31391AF1"/>
    <w:multiLevelType w:val="multilevel"/>
    <w:tmpl w:val="8D3E260C"/>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E0C"/>
    <w:rsid w:val="00040A9F"/>
    <w:rsid w:val="000D2FBA"/>
    <w:rsid w:val="001A0DE5"/>
    <w:rsid w:val="001B327C"/>
    <w:rsid w:val="002952A8"/>
    <w:rsid w:val="0030091D"/>
    <w:rsid w:val="00325DEA"/>
    <w:rsid w:val="003617CB"/>
    <w:rsid w:val="003C5B64"/>
    <w:rsid w:val="003D3E96"/>
    <w:rsid w:val="003D5F83"/>
    <w:rsid w:val="003D6A13"/>
    <w:rsid w:val="004526F5"/>
    <w:rsid w:val="005234DF"/>
    <w:rsid w:val="00565613"/>
    <w:rsid w:val="00592404"/>
    <w:rsid w:val="006B1E0C"/>
    <w:rsid w:val="0078351A"/>
    <w:rsid w:val="00864A8B"/>
    <w:rsid w:val="008C5E73"/>
    <w:rsid w:val="009050AC"/>
    <w:rsid w:val="009540E8"/>
    <w:rsid w:val="009908D2"/>
    <w:rsid w:val="00A025D3"/>
    <w:rsid w:val="00A1636C"/>
    <w:rsid w:val="00A31B4A"/>
    <w:rsid w:val="00A87A7D"/>
    <w:rsid w:val="00B56B0B"/>
    <w:rsid w:val="00B95F0F"/>
    <w:rsid w:val="00C37676"/>
    <w:rsid w:val="00CC62D8"/>
    <w:rsid w:val="00CE74EB"/>
    <w:rsid w:val="00D77C52"/>
    <w:rsid w:val="00E5272E"/>
    <w:rsid w:val="00EE4691"/>
    <w:rsid w:val="00F541E4"/>
    <w:rsid w:val="00F63903"/>
    <w:rsid w:val="00FA765E"/>
    <w:rsid w:val="00FB096D"/>
    <w:rsid w:val="00FC09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3673A"/>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ind w:leftChars="-1" w:left="-1" w:hangingChars="1"/>
      <w:textDirection w:val="btLr"/>
      <w:textAlignment w:val="baseline"/>
      <w:outlineLvl w:val="0"/>
    </w:pPr>
    <w:rPr>
      <w:position w:val="-1"/>
      <w:lang w:eastAsia="en-US"/>
    </w:rPr>
  </w:style>
  <w:style w:type="paragraph" w:styleId="Heading1">
    <w:name w:val="heading 1"/>
    <w:basedOn w:val="HouseStyleBase"/>
    <w:uiPriority w:val="9"/>
    <w:qFormat/>
    <w:pPr>
      <w:numPr>
        <w:numId w:val="2"/>
      </w:numPr>
      <w:ind w:left="-1" w:hanging="1"/>
    </w:pPr>
  </w:style>
  <w:style w:type="paragraph" w:styleId="Heading2">
    <w:name w:val="heading 2"/>
    <w:basedOn w:val="HouseStyleBase"/>
    <w:uiPriority w:val="9"/>
    <w:semiHidden/>
    <w:unhideWhenUsed/>
    <w:qFormat/>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unhideWhenUsed/>
    <w:qFormat/>
    <w:pPr>
      <w:numPr>
        <w:ilvl w:val="2"/>
        <w:numId w:val="2"/>
      </w:numPr>
      <w:ind w:left="-1" w:hanging="1"/>
      <w:outlineLvl w:val="2"/>
    </w:pPr>
  </w:style>
  <w:style w:type="paragraph" w:styleId="Heading4">
    <w:name w:val="heading 4"/>
    <w:basedOn w:val="HouseStyleBase"/>
    <w:uiPriority w:val="9"/>
    <w:semiHidden/>
    <w:unhideWhenUsed/>
    <w:qFormat/>
    <w:pPr>
      <w:numPr>
        <w:ilvl w:val="3"/>
        <w:numId w:val="2"/>
      </w:numPr>
      <w:ind w:left="-1" w:hanging="1"/>
      <w:outlineLvl w:val="3"/>
    </w:pPr>
  </w:style>
  <w:style w:type="paragraph" w:styleId="Heading5">
    <w:name w:val="heading 5"/>
    <w:basedOn w:val="HouseStyleBase"/>
    <w:uiPriority w:val="9"/>
    <w:semiHidden/>
    <w:unhideWhenUsed/>
    <w:qFormat/>
    <w:pPr>
      <w:numPr>
        <w:ilvl w:val="4"/>
        <w:numId w:val="2"/>
      </w:numPr>
      <w:ind w:left="-1" w:hanging="1"/>
      <w:outlineLvl w:val="4"/>
    </w:pPr>
  </w:style>
  <w:style w:type="paragraph" w:styleId="Heading6">
    <w:name w:val="heading 6"/>
    <w:basedOn w:val="HouseStyleBase"/>
    <w:uiPriority w:val="9"/>
    <w:semiHidden/>
    <w:unhideWhenUsed/>
    <w:qFormat/>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tabs>
        <w:tab w:val="num" w:pos="720"/>
      </w:tabs>
    </w:pPr>
    <w:rPr>
      <w:rFonts w:ascii="Calibri" w:eastAsia="STZhongsong" w:hAnsi="Calibri"/>
    </w:rPr>
  </w:style>
  <w:style w:type="paragraph" w:styleId="BodyTextIndent2">
    <w:name w:val="Body Text Indent 2"/>
    <w:basedOn w:val="HouseStyleBase"/>
    <w:pPr>
      <w:tabs>
        <w:tab w:val="num" w:pos="1440"/>
      </w:tabs>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tabs>
        <w:tab w:val="num" w:pos="360"/>
      </w:tabs>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tabs>
        <w:tab w:val="num" w:pos="2160"/>
      </w:tabs>
      <w:spacing w:after="120"/>
    </w:pPr>
    <w:rPr>
      <w:rFonts w:ascii="Calibri" w:eastAsia="STZhongsong" w:hAnsi="Calibri"/>
    </w:rPr>
  </w:style>
  <w:style w:type="paragraph" w:customStyle="1" w:styleId="DefinitionNumbering2">
    <w:name w:val="Definition Numbering 2"/>
    <w:basedOn w:val="HouseStyleBase"/>
    <w:pPr>
      <w:tabs>
        <w:tab w:val="num" w:pos="2880"/>
      </w:tabs>
      <w:outlineLvl w:val="1"/>
    </w:pPr>
  </w:style>
  <w:style w:type="paragraph" w:customStyle="1" w:styleId="DefinitionNumbering3">
    <w:name w:val="Definition Numbering 3"/>
    <w:basedOn w:val="HouseStyleBase"/>
    <w:pPr>
      <w:tabs>
        <w:tab w:val="num" w:pos="3600"/>
      </w:tabs>
      <w:outlineLvl w:val="2"/>
    </w:pPr>
  </w:style>
  <w:style w:type="paragraph" w:customStyle="1" w:styleId="DefinitionNumbering4">
    <w:name w:val="Definition Numbering 4"/>
    <w:basedOn w:val="HouseStyleBase"/>
    <w:pPr>
      <w:tabs>
        <w:tab w:val="num" w:pos="4320"/>
      </w:tabs>
      <w:outlineLvl w:val="3"/>
    </w:pPr>
  </w:style>
  <w:style w:type="paragraph" w:customStyle="1" w:styleId="DefinitionNumbering5">
    <w:name w:val="Definition Numbering 5"/>
    <w:basedOn w:val="HouseStyleBase"/>
    <w:pPr>
      <w:tabs>
        <w:tab w:val="num" w:pos="5040"/>
      </w:tabs>
      <w:outlineLvl w:val="4"/>
    </w:pPr>
  </w:style>
  <w:style w:type="paragraph" w:customStyle="1" w:styleId="DefinitionNumbering6">
    <w:name w:val="Definition Numbering 6"/>
    <w:basedOn w:val="HouseStyleBase"/>
    <w:pPr>
      <w:tabs>
        <w:tab w:val="num" w:pos="5760"/>
      </w:tabs>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tabs>
        <w:tab w:val="num" w:pos="1440"/>
      </w:tabs>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tabs>
        <w:tab w:val="num" w:pos="2160"/>
      </w:tabs>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tabs>
        <w:tab w:val="clear" w:pos="720"/>
      </w:tabs>
      <w:overflowPunct w:val="0"/>
      <w:autoSpaceDE w:val="0"/>
      <w:autoSpaceDN w:val="0"/>
      <w:spacing w:after="120" w:line="360" w:lineRule="auto"/>
      <w:ind w:left="283"/>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urfulGrid">
    <w:name w:val="Colorful Grid"/>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1">
    <w:name w:val="Colorful Grid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2">
    <w:name w:val="Colorful Grid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3">
    <w:name w:val="Colorful Grid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4">
    <w:name w:val="Colorful Grid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5">
    <w:name w:val="Colorful Grid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GridAccent6">
    <w:name w:val="Colorful Grid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List">
    <w:name w:val="Colorful List"/>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1">
    <w:name w:val="Colorful List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2">
    <w:name w:val="Colorful List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3">
    <w:name w:val="Colorful List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4">
    <w:name w:val="Colorful List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5">
    <w:name w:val="Colorful List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ListAccent6">
    <w:name w:val="Colorful List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urfulShading">
    <w:name w:val="Colorful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styleId="ColourfulShadingAccent1">
    <w:name w:val="Colorful Shading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styleId="ColourfulShadingAccent2">
    <w:name w:val="Colorful Shading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styleId="ColourfulShadingAccent3">
    <w:name w:val="Colorful Shading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styleId="ColourfulShadingAccent4">
    <w:name w:val="Colorful Shading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styleId="ColourfulShadingAccent5">
    <w:name w:val="Colorful Shading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styleId="ColourfulShadingAccent6">
    <w:name w:val="Colorful Shading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textDirection w:val="btLr"/>
      <w:textAlignment w:val="baseline"/>
      <w:outlineLvl w:val="0"/>
    </w:pPr>
    <w:rPr>
      <w:position w:val="-1"/>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urful1">
    <w:name w:val="Table Colorful 1"/>
    <w:basedOn w:val="TableNormal"/>
    <w:pPr>
      <w:suppressAutoHyphens/>
      <w:overflowPunct w:val="0"/>
      <w:autoSpaceDE w:val="0"/>
      <w:autoSpaceDN w:val="0"/>
      <w:adjustRightInd w:val="0"/>
      <w:ind w:leftChars="-1" w:left="-1" w:hangingChars="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urful2">
    <w:name w:val="Table Colorful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bottom w:val="single" w:sz="12" w:space="0" w:color="000000"/>
      </w:tblBorders>
    </w:tblPr>
  </w:style>
  <w:style w:type="table" w:styleId="TableColourful3">
    <w:name w:val="Table Colorful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rPr>
      <w:rFonts w:ascii="Cambria" w:eastAsia="Cambria" w:hAnsi="Cambria" w:cs="Cambria"/>
      <w:b/>
      <w:color w:val="FFFFFF"/>
    </w:rPr>
    <w:tblPr>
      <w:tblStyleRowBandSize w:val="1"/>
      <w:tblStyleColBandSize w:val="1"/>
    </w:tblPr>
  </w:style>
  <w:style w:type="table" w:customStyle="1" w:styleId="a3">
    <w:basedOn w:val="TableNormal"/>
    <w:rPr>
      <w:rFonts w:ascii="Cambria" w:eastAsia="Cambria" w:hAnsi="Cambria" w:cs="Cambria"/>
      <w:b/>
      <w:color w:val="FFFFFF"/>
    </w:rPr>
    <w:tblPr>
      <w:tblStyleRowBandSize w:val="1"/>
      <w:tblStyleColBandSize w:val="1"/>
    </w:tblPr>
  </w:style>
  <w:style w:type="table" w:customStyle="1" w:styleId="a4">
    <w:basedOn w:val="TableNormal"/>
    <w:rPr>
      <w:rFonts w:ascii="Cambria" w:eastAsia="Cambria" w:hAnsi="Cambria" w:cs="Cambria"/>
      <w:b/>
      <w:color w:val="FFFFFF"/>
    </w:rPr>
    <w:tblPr>
      <w:tblStyleRowBandSize w:val="1"/>
      <w:tblStyleColBandSize w:val="1"/>
    </w:tblPr>
  </w:style>
  <w:style w:type="table" w:customStyle="1" w:styleId="a5">
    <w:basedOn w:val="TableNormal"/>
    <w:rPr>
      <w:rFonts w:ascii="Cambria" w:eastAsia="Cambria" w:hAnsi="Cambria" w:cs="Cambria"/>
      <w:b/>
      <w:color w:val="FFFFFF"/>
    </w:rPr>
    <w:tblPr>
      <w:tblStyleRowBandSize w:val="1"/>
      <w:tblStyleColBandSize w:val="1"/>
    </w:tblPr>
  </w:style>
  <w:style w:type="table" w:customStyle="1" w:styleId="a6">
    <w:basedOn w:val="TableNormal"/>
    <w:rPr>
      <w:rFonts w:ascii="Cambria" w:eastAsia="Cambria" w:hAnsi="Cambria" w:cs="Cambria"/>
      <w:b/>
      <w:color w:val="FFFFFF"/>
    </w:rPr>
    <w:tblPr>
      <w:tblStyleRowBandSize w:val="1"/>
      <w:tblStyleColBandSize w:val="1"/>
    </w:tblPr>
  </w:style>
  <w:style w:type="table" w:customStyle="1" w:styleId="a7">
    <w:basedOn w:val="TableNormal"/>
    <w:rPr>
      <w:rFonts w:ascii="Cambria" w:eastAsia="Cambria" w:hAnsi="Cambria" w:cs="Cambria"/>
      <w:b/>
      <w:color w:val="FFFFFF"/>
    </w:rPr>
    <w:tblPr>
      <w:tblStyleRowBandSize w:val="1"/>
      <w:tblStyleColBandSize w:val="1"/>
    </w:tblPr>
  </w:style>
  <w:style w:type="table" w:customStyle="1" w:styleId="a8">
    <w:basedOn w:val="TableNormal"/>
    <w:rPr>
      <w:rFonts w:ascii="Cambria" w:eastAsia="Cambria" w:hAnsi="Cambria" w:cs="Cambria"/>
      <w:b/>
      <w:color w:val="FFFFFF"/>
    </w:rPr>
    <w:tblPr>
      <w:tblStyleRowBandSize w:val="1"/>
      <w:tblStyleColBandSize w:val="1"/>
    </w:tblPr>
  </w:style>
  <w:style w:type="table" w:customStyle="1" w:styleId="a9">
    <w:basedOn w:val="TableNormal"/>
    <w:rPr>
      <w:rFonts w:ascii="Cambria" w:eastAsia="Cambria" w:hAnsi="Cambria" w:cs="Cambria"/>
      <w:b/>
      <w:color w:val="FFFFFF"/>
    </w:rPr>
    <w:tblPr>
      <w:tblStyleRowBandSize w:val="1"/>
      <w:tblStyleColBandSize w:val="1"/>
    </w:tblPr>
  </w:style>
  <w:style w:type="paragraph" w:styleId="Revision">
    <w:name w:val="Revision"/>
    <w:hidden/>
    <w:uiPriority w:val="99"/>
    <w:semiHidden/>
    <w:rsid w:val="001273C6"/>
    <w:pPr>
      <w:spacing w:after="0" w:line="240" w:lineRule="auto"/>
      <w:ind w:firstLine="0"/>
      <w:jc w:val="left"/>
    </w:pPr>
    <w:rPr>
      <w:position w:val="-1"/>
      <w:lang w:eastAsia="en-US"/>
    </w:rPr>
  </w:style>
  <w:style w:type="table" w:customStyle="1" w:styleId="aa">
    <w:basedOn w:val="TableNormal"/>
    <w:rPr>
      <w:rFonts w:ascii="Cambria" w:eastAsia="Cambria" w:hAnsi="Cambria" w:cs="Cambria"/>
      <w:b/>
      <w:color w:val="FFFFFF"/>
    </w:rPr>
    <w:tblPr>
      <w:tblStyleRowBandSize w:val="1"/>
      <w:tblStyleColBandSize w:val="1"/>
    </w:tblPr>
  </w:style>
  <w:style w:type="table" w:customStyle="1" w:styleId="ab">
    <w:basedOn w:val="TableNormal"/>
    <w:rPr>
      <w:rFonts w:ascii="Cambria" w:eastAsia="Cambria" w:hAnsi="Cambria" w:cs="Cambria"/>
      <w:b/>
      <w:color w:val="FFFFFF"/>
    </w:rPr>
    <w:tblPr>
      <w:tblStyleRowBandSize w:val="1"/>
      <w:tblStyleColBandSize w:val="1"/>
    </w:tblPr>
  </w:style>
  <w:style w:type="table" w:customStyle="1" w:styleId="ac">
    <w:basedOn w:val="TableNormal"/>
    <w:rPr>
      <w:rFonts w:ascii="Cambria" w:eastAsia="Cambria" w:hAnsi="Cambria" w:cs="Cambria"/>
      <w:b/>
      <w:color w:val="FFFFFF"/>
    </w:rPr>
    <w:tblPr>
      <w:tblStyleRowBandSize w:val="1"/>
      <w:tblStyleColBandSize w:val="1"/>
    </w:tblPr>
  </w:style>
  <w:style w:type="table" w:customStyle="1" w:styleId="ad">
    <w:basedOn w:val="TableNormal"/>
    <w:rPr>
      <w:rFonts w:ascii="Cambria" w:eastAsia="Cambria" w:hAnsi="Cambria" w:cs="Cambria"/>
      <w:b/>
      <w:color w:val="FFFFFF"/>
    </w:rPr>
    <w:tblPr>
      <w:tblStyleRowBandSize w:val="1"/>
      <w:tblStyleColBandSize w:val="1"/>
    </w:tblPr>
  </w:style>
  <w:style w:type="table" w:customStyle="1" w:styleId="ae">
    <w:basedOn w:val="TableNormal"/>
    <w:rPr>
      <w:rFonts w:ascii="Cambria" w:eastAsia="Cambria" w:hAnsi="Cambria" w:cs="Cambria"/>
      <w:b/>
      <w:color w:val="FFFFFF"/>
    </w:rPr>
    <w:tblPr>
      <w:tblStyleRowBandSize w:val="1"/>
      <w:tblStyleColBandSize w:val="1"/>
    </w:tblPr>
  </w:style>
  <w:style w:type="table" w:customStyle="1" w:styleId="af">
    <w:basedOn w:val="TableNormal"/>
    <w:rPr>
      <w:rFonts w:ascii="Cambria" w:eastAsia="Cambria" w:hAnsi="Cambria" w:cs="Cambria"/>
      <w:b/>
      <w:color w:val="FFFFFF"/>
    </w:rPr>
    <w:tblPr>
      <w:tblStyleRowBandSize w:val="1"/>
      <w:tblStyleColBandSize w:val="1"/>
    </w:tblPr>
  </w:style>
  <w:style w:type="table" w:customStyle="1" w:styleId="af0">
    <w:basedOn w:val="TableNormal"/>
    <w:rPr>
      <w:rFonts w:ascii="Cambria" w:eastAsia="Cambria" w:hAnsi="Cambria" w:cs="Cambria"/>
      <w:b/>
      <w:color w:val="FFFFFF"/>
    </w:rPr>
    <w:tblPr>
      <w:tblStyleRowBandSize w:val="1"/>
      <w:tblStyleColBandSize w:val="1"/>
    </w:tblPr>
  </w:style>
  <w:style w:type="table" w:customStyle="1" w:styleId="af1">
    <w:basedOn w:val="TableNormal"/>
    <w:rPr>
      <w:rFonts w:ascii="Cambria" w:eastAsia="Cambria" w:hAnsi="Cambria" w:cs="Cambria"/>
      <w:b/>
      <w:color w:val="FFFFFF"/>
    </w:rPr>
    <w:tblPr>
      <w:tblStyleRowBandSize w:val="1"/>
      <w:tblStyleColBandSize w:val="1"/>
    </w:tblPr>
  </w:style>
  <w:style w:type="numbering" w:customStyle="1" w:styleId="Style1">
    <w:name w:val="Style1"/>
    <w:uiPriority w:val="99"/>
    <w:rsid w:val="007D3008"/>
  </w:style>
  <w:style w:type="table" w:customStyle="1" w:styleId="af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8DWLSzd9F27Few73+0eTuaTarw==">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</go:docsCustomData>
</go:gDocsCustomXmlDataStorage>
</file>

<file path=customXml/itemProps1.xml><?xml version="1.0" encoding="utf-8"?>
<ds:datastoreItem xmlns:ds="http://schemas.openxmlformats.org/officeDocument/2006/customXml" ds:itemID="{ED040C5A-E202-4220-8F8F-2EC82CF6DE5F}">
  <ds:schemaRefs>
    <ds:schemaRef ds:uri="http://schemas.microsoft.com/office/2006/metadata/properties"/>
    <ds:schemaRef ds:uri="http://schemas.microsoft.com/office/infopath/2007/PartnerControls"/>
    <ds:schemaRef ds:uri="779eeb12-8c02-43df-a0db-4c4a66cb1f04"/>
    <ds:schemaRef ds:uri="60b4899e-55b4-4231-8241-12d69350e134"/>
    <ds:schemaRef ds:uri="8c65b7af-b42e-454b-84ac-773ffd50ff07"/>
  </ds:schemaRefs>
</ds:datastoreItem>
</file>

<file path=customXml/itemProps2.xml><?xml version="1.0" encoding="utf-8"?>
<ds:datastoreItem xmlns:ds="http://schemas.openxmlformats.org/officeDocument/2006/customXml" ds:itemID="{FB4D8249-DAC0-4559-BCDD-6B9C45905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18BBBA-00FA-4240-A635-619B0660CED7}">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1929</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Bodell</dc:creator>
  <cp:lastModifiedBy>Tracy Starr</cp:lastModifiedBy>
  <cp:revision>8</cp:revision>
  <dcterms:created xsi:type="dcterms:W3CDTF">2025-06-23T09:41:00Z</dcterms:created>
  <dcterms:modified xsi:type="dcterms:W3CDTF">2026-01-26T14:00:00Z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0x010100A5BF1C78D9F64B679A5EBDE1C6598EBC0100CC42F60AA7789749A5588C8BDD2261FE</vt:lpwstr>
  </property>
  <property fmtid="{D5CDD505-2E9C-101B-9397-08002B2CF9AE}" pid="9" name="HOCopyrightLevel">
    <vt:lpwstr>3;#Crown|69589897-2828-4761-976e-717fd8e631c9</vt:lpwstr>
  </property>
  <property fmtid="{D5CDD505-2E9C-101B-9397-08002B2CF9AE}" pid="10" name="HOGovernmentSecurityClassification">
    <vt:lpwstr>2;#Official|14c80daa-741b-422c-9722-f71693c9ede4</vt:lpwstr>
  </property>
  <property fmtid="{D5CDD505-2E9C-101B-9397-08002B2CF9AE}" pid="11" name="HOBusinessUnit">
    <vt:lpwstr>1;#HOPG Core (P)|1a40be58-578e-4048-945d-79155c8f9a87</vt:lpwstr>
  </property>
  <property fmtid="{D5CDD505-2E9C-101B-9397-08002B2CF9AE}" pid="12" name="MediaServiceImageTags">
    <vt:lpwstr/>
  </property>
  <property fmtid="{D5CDD505-2E9C-101B-9397-08002B2CF9AE}" pid="13" name="docLang">
    <vt:lpwstr>en</vt:lpwstr>
  </property>
</Properties>
</file>